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559" w:rsidRPr="0042229E" w:rsidRDefault="0042229E" w:rsidP="0042229E">
      <w:pPr>
        <w:tabs>
          <w:tab w:val="left" w:pos="1477"/>
        </w:tabs>
        <w:jc w:val="right"/>
        <w:rPr>
          <w:b/>
          <w:sz w:val="22"/>
        </w:rPr>
      </w:pPr>
      <w:r w:rsidRPr="0042229E">
        <w:rPr>
          <w:b/>
          <w:sz w:val="22"/>
        </w:rPr>
        <w:t>NORME VIGENTI</w:t>
      </w:r>
    </w:p>
    <w:p w:rsidR="0042229E" w:rsidRDefault="0042229E" w:rsidP="00715559">
      <w:pPr>
        <w:tabs>
          <w:tab w:val="left" w:pos="1477"/>
        </w:tabs>
        <w:rPr>
          <w:b/>
          <w:sz w:val="22"/>
        </w:rPr>
      </w:pPr>
    </w:p>
    <w:p w:rsidR="00715559" w:rsidRPr="009560C9" w:rsidRDefault="00715559" w:rsidP="00715559">
      <w:pPr>
        <w:rPr>
          <w:b/>
        </w:rPr>
      </w:pPr>
      <w:proofErr w:type="spellStart"/>
      <w:r w:rsidRPr="009560C9">
        <w:rPr>
          <w:b/>
        </w:rPr>
        <w:t>TAB</w:t>
      </w:r>
      <w:proofErr w:type="spellEnd"/>
      <w:r w:rsidRPr="009560C9">
        <w:rPr>
          <w:b/>
        </w:rPr>
        <w:t xml:space="preserve">. 1 – </w:t>
      </w:r>
      <w:proofErr w:type="spellStart"/>
      <w:r w:rsidRPr="009560C9">
        <w:rPr>
          <w:b/>
        </w:rPr>
        <w:t>Bd</w:t>
      </w:r>
      <w:proofErr w:type="spellEnd"/>
    </w:p>
    <w:p w:rsidR="00715559" w:rsidRPr="00666880" w:rsidRDefault="00715559" w:rsidP="00715559">
      <w:pPr>
        <w:rPr>
          <w:b/>
          <w:sz w:val="10"/>
          <w:szCs w:val="10"/>
        </w:rPr>
      </w:pPr>
    </w:p>
    <w:tbl>
      <w:tblPr>
        <w:tblW w:w="149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700"/>
        <w:gridCol w:w="1440"/>
        <w:gridCol w:w="1260"/>
        <w:gridCol w:w="2880"/>
        <w:gridCol w:w="3240"/>
        <w:gridCol w:w="3420"/>
      </w:tblGrid>
      <w:tr w:rsidR="00715559" w:rsidRPr="00E439C7" w:rsidTr="00B61CCA">
        <w:tc>
          <w:tcPr>
            <w:tcW w:w="5400" w:type="dxa"/>
            <w:gridSpan w:val="3"/>
            <w:tcBorders>
              <w:bottom w:val="single" w:sz="4" w:space="0" w:color="auto"/>
            </w:tcBorders>
            <w:shd w:val="clear" w:color="auto" w:fill="FF99CC"/>
          </w:tcPr>
          <w:p w:rsidR="00715559" w:rsidRPr="00312632" w:rsidRDefault="00715559" w:rsidP="00B61CCA">
            <w:pPr>
              <w:jc w:val="center"/>
              <w:rPr>
                <w:b/>
              </w:rPr>
            </w:pPr>
            <w:r w:rsidRPr="00312632">
              <w:rPr>
                <w:b/>
              </w:rPr>
              <w:t xml:space="preserve">SOTTOZONE  </w:t>
            </w:r>
            <w:proofErr w:type="spellStart"/>
            <w:r w:rsidRPr="00312632">
              <w:rPr>
                <w:b/>
              </w:rPr>
              <w:t>DI</w:t>
            </w:r>
            <w:proofErr w:type="spellEnd"/>
            <w:r w:rsidRPr="00312632">
              <w:rPr>
                <w:b/>
              </w:rPr>
              <w:t xml:space="preserve"> TIPO </w:t>
            </w:r>
            <w:proofErr w:type="spellStart"/>
            <w:r w:rsidRPr="00312632">
              <w:rPr>
                <w:b/>
              </w:rPr>
              <w:t>Bd</w:t>
            </w:r>
            <w:proofErr w:type="spellEnd"/>
          </w:p>
          <w:p w:rsidR="00715559" w:rsidRPr="00E439C7" w:rsidRDefault="00715559" w:rsidP="00B61CCA">
            <w:pPr>
              <w:jc w:val="center"/>
            </w:pPr>
            <w:r>
              <w:rPr>
                <w:b/>
                <w:sz w:val="20"/>
                <w:szCs w:val="20"/>
              </w:rPr>
              <w:t>(</w:t>
            </w:r>
            <w:r w:rsidRPr="00C30674">
              <w:rPr>
                <w:b/>
                <w:sz w:val="20"/>
                <w:szCs w:val="20"/>
              </w:rPr>
              <w:t>art. 4</w:t>
            </w:r>
            <w:r>
              <w:rPr>
                <w:b/>
                <w:sz w:val="20"/>
                <w:szCs w:val="20"/>
              </w:rPr>
              <w:t>6</w:t>
            </w:r>
            <w:r w:rsidRPr="00C30674">
              <w:rPr>
                <w:b/>
                <w:sz w:val="20"/>
                <w:szCs w:val="20"/>
              </w:rPr>
              <w:t xml:space="preserve"> NTA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540" w:type="dxa"/>
            <w:gridSpan w:val="3"/>
            <w:tcBorders>
              <w:right w:val="single" w:sz="4" w:space="0" w:color="auto"/>
            </w:tcBorders>
          </w:tcPr>
          <w:p w:rsidR="00715559" w:rsidRPr="00312632" w:rsidRDefault="00715559" w:rsidP="00B61CCA">
            <w:pPr>
              <w:jc w:val="center"/>
              <w:rPr>
                <w:b/>
              </w:rPr>
            </w:pPr>
            <w:r w:rsidRPr="00312632">
              <w:rPr>
                <w:b/>
              </w:rPr>
              <w:t xml:space="preserve">prevalentemente destinate ad attività ricettive turistiche </w:t>
            </w:r>
          </w:p>
        </w:tc>
      </w:tr>
      <w:tr w:rsidR="00715559" w:rsidRPr="00F15EE7" w:rsidTr="00B61CCA">
        <w:trPr>
          <w:trHeight w:val="1228"/>
        </w:trPr>
        <w:tc>
          <w:tcPr>
            <w:tcW w:w="2700" w:type="dxa"/>
            <w:tcBorders>
              <w:bottom w:val="single" w:sz="4" w:space="0" w:color="auto"/>
            </w:tcBorders>
            <w:shd w:val="pct5" w:color="auto" w:fill="auto"/>
          </w:tcPr>
          <w:p w:rsidR="00715559" w:rsidRDefault="00715559" w:rsidP="00B61CCA">
            <w:pPr>
              <w:jc w:val="center"/>
            </w:pP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Sigla - località</w:t>
            </w:r>
          </w:p>
          <w:p w:rsidR="00715559" w:rsidRPr="00AF5FCA" w:rsidRDefault="00715559" w:rsidP="00B61CCA"/>
        </w:tc>
        <w:tc>
          <w:tcPr>
            <w:tcW w:w="1440" w:type="dxa"/>
            <w:tcBorders>
              <w:bottom w:val="single" w:sz="4" w:space="0" w:color="auto"/>
            </w:tcBorders>
            <w:shd w:val="pct5" w:color="auto" w:fill="auto"/>
          </w:tcPr>
          <w:p w:rsidR="00715559" w:rsidRDefault="00715559" w:rsidP="00B61CCA">
            <w:pPr>
              <w:jc w:val="center"/>
            </w:pP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Superficie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 xml:space="preserve"> territoriale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m</w:t>
            </w:r>
            <w:r w:rsidRPr="00AF5FC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pct5" w:color="auto" w:fill="auto"/>
          </w:tcPr>
          <w:p w:rsidR="00715559" w:rsidRDefault="00715559" w:rsidP="00B61CCA">
            <w:pPr>
              <w:jc w:val="center"/>
            </w:pP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Superficie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 xml:space="preserve"> fondiaria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m</w:t>
            </w:r>
            <w:r w:rsidRPr="00AF5FC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pct5" w:color="auto" w:fill="auto"/>
          </w:tcPr>
          <w:p w:rsidR="00715559" w:rsidRDefault="00715559" w:rsidP="00B61CCA">
            <w:pPr>
              <w:jc w:val="center"/>
            </w:pP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 xml:space="preserve">Sistema Ambientale PTP 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Titolo II, art. 10, comma 3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NAPTP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pct5" w:color="auto" w:fill="auto"/>
          </w:tcPr>
          <w:p w:rsidR="00715559" w:rsidRDefault="00715559" w:rsidP="00B61CCA">
            <w:pPr>
              <w:jc w:val="center"/>
            </w:pP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Interferenza  con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Ambiti inedificabili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artt. 32, 33 e 35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NAPTP</w:t>
            </w:r>
          </w:p>
        </w:tc>
        <w:tc>
          <w:tcPr>
            <w:tcW w:w="3420" w:type="dxa"/>
            <w:tcBorders>
              <w:top w:val="single" w:sz="4" w:space="0" w:color="auto"/>
              <w:bottom w:val="nil"/>
            </w:tcBorders>
            <w:shd w:val="pct5" w:color="auto" w:fill="auto"/>
          </w:tcPr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Interferenza  con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Aree di specifico interesse paesaggistico, storico, culturale o documentario e archeologico art. 40 o siti di specifico interesse naturalistico art. 38 NAPTP</w:t>
            </w:r>
          </w:p>
        </w:tc>
      </w:tr>
      <w:tr w:rsidR="00715559" w:rsidRPr="00F15EE7" w:rsidTr="00B61CCA">
        <w:trPr>
          <w:cantSplit/>
          <w:trHeight w:val="346"/>
        </w:trPr>
        <w:tc>
          <w:tcPr>
            <w:tcW w:w="2700" w:type="dxa"/>
            <w:vAlign w:val="bottom"/>
          </w:tcPr>
          <w:p w:rsidR="00715559" w:rsidRDefault="00715559" w:rsidP="00B61CCA">
            <w:pPr>
              <w:rPr>
                <w:b/>
              </w:rPr>
            </w:pPr>
          </w:p>
          <w:p w:rsidR="00715559" w:rsidRPr="00DE7FB0" w:rsidRDefault="00715559" w:rsidP="00B61CCA">
            <w:pPr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 xml:space="preserve">Bd1 – </w:t>
            </w:r>
            <w:proofErr w:type="spellStart"/>
            <w:r w:rsidRPr="00DE7FB0">
              <w:rPr>
                <w:b/>
                <w:sz w:val="22"/>
                <w:szCs w:val="22"/>
              </w:rPr>
              <w:t>Berse-Liussel</w:t>
            </w:r>
            <w:proofErr w:type="spellEnd"/>
          </w:p>
        </w:tc>
        <w:tc>
          <w:tcPr>
            <w:tcW w:w="1440" w:type="dxa"/>
            <w:vAlign w:val="bottom"/>
          </w:tcPr>
          <w:p w:rsidR="00715559" w:rsidRPr="008D6BEA" w:rsidRDefault="00715559" w:rsidP="00B61CCA">
            <w:pPr>
              <w:jc w:val="center"/>
              <w:rPr>
                <w:b/>
              </w:rPr>
            </w:pPr>
            <w:r w:rsidRPr="008D6BEA">
              <w:rPr>
                <w:b/>
                <w:sz w:val="22"/>
                <w:szCs w:val="22"/>
              </w:rPr>
              <w:t>31.246</w:t>
            </w:r>
          </w:p>
        </w:tc>
        <w:tc>
          <w:tcPr>
            <w:tcW w:w="1260" w:type="dxa"/>
            <w:vAlign w:val="bottom"/>
          </w:tcPr>
          <w:p w:rsidR="00715559" w:rsidRPr="008D6BEA" w:rsidRDefault="00715559" w:rsidP="00B61CCA">
            <w:pPr>
              <w:jc w:val="center"/>
              <w:rPr>
                <w:b/>
              </w:rPr>
            </w:pPr>
            <w:r w:rsidRPr="008D6BEA">
              <w:rPr>
                <w:b/>
                <w:sz w:val="22"/>
                <w:szCs w:val="22"/>
              </w:rPr>
              <w:t>29.223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Sistema Insediativo Tradizionale: sottosistema a sviluppo turistico</w:t>
            </w:r>
          </w:p>
          <w:p w:rsidR="00715559" w:rsidRDefault="00715559" w:rsidP="00B61CCA">
            <w:pPr>
              <w:jc w:val="center"/>
            </w:pPr>
            <w:r w:rsidRPr="00DE7FB0">
              <w:rPr>
                <w:sz w:val="22"/>
                <w:szCs w:val="22"/>
              </w:rPr>
              <w:t>(art. 17, comma1)</w:t>
            </w:r>
          </w:p>
          <w:p w:rsidR="00715559" w:rsidRPr="002235F9" w:rsidRDefault="00715559" w:rsidP="00B61CC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240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715559" w:rsidRPr="00DE7FB0" w:rsidRDefault="00715559" w:rsidP="00B61CCA">
            <w:pPr>
              <w:jc w:val="center"/>
            </w:pPr>
            <w:r w:rsidRPr="00DE7FB0">
              <w:rPr>
                <w:sz w:val="22"/>
                <w:szCs w:val="22"/>
              </w:rPr>
              <w:t>riferimento per singoli interventi ricadenti in</w:t>
            </w:r>
          </w:p>
          <w:p w:rsidR="00715559" w:rsidRPr="00DE7FB0" w:rsidRDefault="00715559" w:rsidP="00B61CCA">
            <w:pPr>
              <w:jc w:val="center"/>
            </w:pPr>
            <w:r w:rsidRPr="00DE7FB0">
              <w:rPr>
                <w:sz w:val="22"/>
                <w:szCs w:val="22"/>
              </w:rPr>
              <w:t>fasce a rischio: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ind w:right="-250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- artt. TITOLO II Capo V NTA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- Tavole ambiti inedificabili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559" w:rsidRPr="00DE7FB0" w:rsidRDefault="00715559" w:rsidP="00B61CCA">
            <w:pPr>
              <w:jc w:val="center"/>
            </w:pPr>
            <w:r w:rsidRPr="00DE7FB0">
              <w:rPr>
                <w:sz w:val="22"/>
                <w:szCs w:val="22"/>
              </w:rPr>
              <w:t>riferimento per singoli</w:t>
            </w:r>
          </w:p>
          <w:p w:rsidR="00715559" w:rsidRPr="00DE7FB0" w:rsidRDefault="00715559" w:rsidP="00B61CCA">
            <w:pPr>
              <w:jc w:val="center"/>
            </w:pPr>
            <w:r w:rsidRPr="00DE7FB0">
              <w:rPr>
                <w:sz w:val="22"/>
                <w:szCs w:val="22"/>
              </w:rPr>
              <w:t>interventi ricadenti in</w:t>
            </w:r>
          </w:p>
          <w:p w:rsidR="00715559" w:rsidRPr="00DE7FB0" w:rsidRDefault="00715559" w:rsidP="00B61CCA">
            <w:pPr>
              <w:jc w:val="center"/>
            </w:pPr>
            <w:r w:rsidRPr="00DE7FB0">
              <w:rPr>
                <w:sz w:val="22"/>
                <w:szCs w:val="22"/>
              </w:rPr>
              <w:t>aree di specifico interesse:</w:t>
            </w: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ind w:left="-70" w:right="-250" w:hanging="180"/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- art. 26 TITOLO II Capo I  NTA</w:t>
            </w:r>
          </w:p>
          <w:p w:rsidR="00715559" w:rsidRPr="00DE7FB0" w:rsidRDefault="00715559" w:rsidP="00B61CCA">
            <w:pPr>
              <w:ind w:left="72" w:hanging="72"/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ind w:right="-250" w:hanging="250"/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- art. 40 TITOLO II Capo III NTA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- Tavole prescrittive P1 e P2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</w:tc>
      </w:tr>
      <w:tr w:rsidR="00715559" w:rsidRPr="00F15EE7" w:rsidTr="00B61CCA">
        <w:trPr>
          <w:cantSplit/>
          <w:trHeight w:val="347"/>
        </w:trPr>
        <w:tc>
          <w:tcPr>
            <w:tcW w:w="2700" w:type="dxa"/>
            <w:vAlign w:val="bottom"/>
          </w:tcPr>
          <w:p w:rsidR="00715559" w:rsidRPr="00DE7FB0" w:rsidRDefault="00715559" w:rsidP="00B61CCA">
            <w:pPr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 xml:space="preserve">Bd2 - </w:t>
            </w:r>
            <w:proofErr w:type="spellStart"/>
            <w:r w:rsidRPr="00DE7FB0">
              <w:rPr>
                <w:b/>
                <w:sz w:val="22"/>
                <w:szCs w:val="22"/>
              </w:rPr>
              <w:t>Liussel</w:t>
            </w:r>
            <w:proofErr w:type="spellEnd"/>
          </w:p>
        </w:tc>
        <w:tc>
          <w:tcPr>
            <w:tcW w:w="1440" w:type="dxa"/>
            <w:vAlign w:val="bottom"/>
          </w:tcPr>
          <w:p w:rsidR="00715559" w:rsidRPr="008D6BEA" w:rsidRDefault="00715559" w:rsidP="00B61CCA">
            <w:pPr>
              <w:jc w:val="center"/>
              <w:rPr>
                <w:b/>
              </w:rPr>
            </w:pPr>
            <w:r w:rsidRPr="008D6BEA">
              <w:rPr>
                <w:b/>
                <w:sz w:val="22"/>
                <w:szCs w:val="22"/>
              </w:rPr>
              <w:t>6.872</w:t>
            </w:r>
          </w:p>
        </w:tc>
        <w:tc>
          <w:tcPr>
            <w:tcW w:w="1260" w:type="dxa"/>
            <w:vAlign w:val="bottom"/>
          </w:tcPr>
          <w:p w:rsidR="00715559" w:rsidRPr="008D6BEA" w:rsidRDefault="00715559" w:rsidP="00B61CCA">
            <w:pPr>
              <w:jc w:val="center"/>
              <w:rPr>
                <w:b/>
              </w:rPr>
            </w:pPr>
            <w:r w:rsidRPr="008D6BEA">
              <w:rPr>
                <w:b/>
                <w:sz w:val="22"/>
                <w:szCs w:val="22"/>
              </w:rPr>
              <w:t>6.503</w:t>
            </w:r>
          </w:p>
        </w:tc>
        <w:tc>
          <w:tcPr>
            <w:tcW w:w="2880" w:type="dxa"/>
            <w:vMerge/>
            <w:shd w:val="clear" w:color="auto" w:fill="auto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</w:p>
        </w:tc>
        <w:tc>
          <w:tcPr>
            <w:tcW w:w="3240" w:type="dxa"/>
            <w:vMerge/>
            <w:tcBorders>
              <w:right w:val="nil"/>
            </w:tcBorders>
            <w:shd w:val="clear" w:color="auto" w:fill="auto"/>
          </w:tcPr>
          <w:p w:rsidR="00715559" w:rsidRPr="00F15EE7" w:rsidRDefault="00715559" w:rsidP="00B61C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559" w:rsidRPr="00F15EE7" w:rsidRDefault="00715559" w:rsidP="00B61CCA">
            <w:pPr>
              <w:jc w:val="center"/>
              <w:rPr>
                <w:sz w:val="20"/>
                <w:szCs w:val="20"/>
              </w:rPr>
            </w:pPr>
          </w:p>
        </w:tc>
      </w:tr>
      <w:tr w:rsidR="00715559" w:rsidRPr="00F15EE7" w:rsidTr="00B61CCA">
        <w:trPr>
          <w:cantSplit/>
          <w:trHeight w:val="347"/>
        </w:trPr>
        <w:tc>
          <w:tcPr>
            <w:tcW w:w="2700" w:type="dxa"/>
            <w:vAlign w:val="bottom"/>
          </w:tcPr>
          <w:p w:rsidR="00715559" w:rsidRDefault="00715559" w:rsidP="00B61CCA">
            <w:pPr>
              <w:rPr>
                <w:b/>
              </w:rPr>
            </w:pPr>
          </w:p>
          <w:p w:rsidR="00715559" w:rsidRDefault="00715559" w:rsidP="00B61CCA">
            <w:pPr>
              <w:rPr>
                <w:b/>
              </w:rPr>
            </w:pPr>
          </w:p>
          <w:p w:rsidR="00715559" w:rsidRPr="00DE7FB0" w:rsidRDefault="00715559" w:rsidP="00B61CCA">
            <w:pPr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 xml:space="preserve">Bd3 – </w:t>
            </w:r>
            <w:proofErr w:type="spellStart"/>
            <w:r w:rsidRPr="00DE7FB0">
              <w:rPr>
                <w:b/>
                <w:sz w:val="22"/>
                <w:szCs w:val="22"/>
              </w:rPr>
              <w:t>Corgnolaz</w:t>
            </w:r>
            <w:proofErr w:type="spellEnd"/>
            <w:r w:rsidRPr="00DE7FB0">
              <w:rPr>
                <w:b/>
                <w:sz w:val="22"/>
                <w:szCs w:val="22"/>
              </w:rPr>
              <w:t xml:space="preserve"> </w:t>
            </w:r>
            <w:r w:rsidRPr="00DE7FB0">
              <w:rPr>
                <w:sz w:val="22"/>
                <w:szCs w:val="22"/>
                <w:highlight w:val="yellow"/>
              </w:rPr>
              <w:t>(1)</w:t>
            </w:r>
          </w:p>
        </w:tc>
        <w:tc>
          <w:tcPr>
            <w:tcW w:w="1440" w:type="dxa"/>
            <w:vAlign w:val="bottom"/>
          </w:tcPr>
          <w:p w:rsidR="00715559" w:rsidRPr="008D6BEA" w:rsidRDefault="00715559" w:rsidP="00B61CCA">
            <w:pPr>
              <w:jc w:val="center"/>
              <w:rPr>
                <w:b/>
              </w:rPr>
            </w:pPr>
            <w:r w:rsidRPr="008D6BEA">
              <w:rPr>
                <w:b/>
                <w:sz w:val="22"/>
                <w:szCs w:val="22"/>
              </w:rPr>
              <w:t>23.424</w:t>
            </w:r>
          </w:p>
        </w:tc>
        <w:tc>
          <w:tcPr>
            <w:tcW w:w="1260" w:type="dxa"/>
            <w:vAlign w:val="bottom"/>
          </w:tcPr>
          <w:p w:rsidR="00715559" w:rsidRPr="008D6BEA" w:rsidRDefault="00715559" w:rsidP="00B61CCA">
            <w:pPr>
              <w:jc w:val="center"/>
              <w:rPr>
                <w:b/>
              </w:rPr>
            </w:pPr>
            <w:r w:rsidRPr="008D6BEA">
              <w:rPr>
                <w:b/>
                <w:sz w:val="22"/>
                <w:szCs w:val="22"/>
              </w:rPr>
              <w:t>22.385</w:t>
            </w:r>
          </w:p>
        </w:tc>
        <w:tc>
          <w:tcPr>
            <w:tcW w:w="2880" w:type="dxa"/>
            <w:vMerge w:val="restart"/>
            <w:shd w:val="clear" w:color="auto" w:fill="auto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Sistema Insediativo Tradizionale: sottosistema a sviluppo turistico</w:t>
            </w:r>
          </w:p>
          <w:p w:rsidR="00715559" w:rsidRPr="00DE7FB0" w:rsidRDefault="00715559" w:rsidP="00B61CCA">
            <w:pPr>
              <w:jc w:val="center"/>
            </w:pPr>
            <w:r w:rsidRPr="00DE7FB0">
              <w:rPr>
                <w:sz w:val="22"/>
                <w:szCs w:val="22"/>
              </w:rPr>
              <w:t>(art. 17, comma1)</w:t>
            </w:r>
          </w:p>
          <w:p w:rsidR="00715559" w:rsidRDefault="00715559" w:rsidP="00B61CCA">
            <w:pPr>
              <w:jc w:val="center"/>
            </w:pPr>
            <w:r w:rsidRPr="00DE7FB0">
              <w:rPr>
                <w:sz w:val="22"/>
                <w:szCs w:val="22"/>
              </w:rPr>
              <w:t>(predominante)</w:t>
            </w:r>
          </w:p>
          <w:p w:rsidR="00715559" w:rsidRPr="002235F9" w:rsidRDefault="00715559" w:rsidP="00B61CCA">
            <w:pPr>
              <w:jc w:val="center"/>
              <w:rPr>
                <w:sz w:val="10"/>
                <w:szCs w:val="10"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Sistema Insediativo Tradizionale: sottosistema a sviluppo integrato</w:t>
            </w:r>
          </w:p>
          <w:p w:rsidR="00715559" w:rsidRDefault="00715559" w:rsidP="00B61CCA">
            <w:pPr>
              <w:jc w:val="center"/>
            </w:pPr>
            <w:r w:rsidRPr="00DE7FB0">
              <w:rPr>
                <w:sz w:val="22"/>
                <w:szCs w:val="22"/>
              </w:rPr>
              <w:t>(art. 15, comma 1)</w:t>
            </w:r>
          </w:p>
          <w:p w:rsidR="00715559" w:rsidRPr="002235F9" w:rsidRDefault="00715559" w:rsidP="00B61CCA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240" w:type="dxa"/>
            <w:vMerge/>
            <w:tcBorders>
              <w:right w:val="nil"/>
            </w:tcBorders>
            <w:shd w:val="clear" w:color="auto" w:fill="auto"/>
          </w:tcPr>
          <w:p w:rsidR="00715559" w:rsidRPr="00F15EE7" w:rsidRDefault="00715559" w:rsidP="00B61C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559" w:rsidRPr="00F15EE7" w:rsidRDefault="00715559" w:rsidP="00B61CCA">
            <w:pPr>
              <w:jc w:val="center"/>
              <w:rPr>
                <w:sz w:val="20"/>
                <w:szCs w:val="20"/>
              </w:rPr>
            </w:pPr>
          </w:p>
        </w:tc>
      </w:tr>
      <w:tr w:rsidR="00715559" w:rsidRPr="00F15EE7" w:rsidTr="00B61CCA">
        <w:trPr>
          <w:cantSplit/>
          <w:trHeight w:val="347"/>
        </w:trPr>
        <w:tc>
          <w:tcPr>
            <w:tcW w:w="2700" w:type="dxa"/>
            <w:vAlign w:val="bottom"/>
          </w:tcPr>
          <w:p w:rsidR="00715559" w:rsidRPr="00DE7FB0" w:rsidRDefault="00715559" w:rsidP="00B61CCA">
            <w:pPr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Bd4</w:t>
            </w:r>
            <w:r w:rsidRPr="008D6BEA">
              <w:rPr>
                <w:b/>
                <w:sz w:val="22"/>
                <w:szCs w:val="22"/>
              </w:rPr>
              <w:t>*</w:t>
            </w:r>
            <w:r w:rsidRPr="00DE7FB0">
              <w:rPr>
                <w:b/>
                <w:sz w:val="22"/>
                <w:szCs w:val="22"/>
              </w:rPr>
              <w:t xml:space="preserve"> – </w:t>
            </w:r>
            <w:proofErr w:type="spellStart"/>
            <w:r w:rsidRPr="00DE7FB0">
              <w:rPr>
                <w:b/>
                <w:sz w:val="22"/>
                <w:szCs w:val="22"/>
              </w:rPr>
              <w:t>Corgnolaz</w:t>
            </w:r>
            <w:proofErr w:type="spellEnd"/>
            <w:r w:rsidRPr="00DE7FB0">
              <w:rPr>
                <w:b/>
                <w:sz w:val="22"/>
                <w:szCs w:val="22"/>
              </w:rPr>
              <w:t xml:space="preserve"> </w:t>
            </w:r>
            <w:r w:rsidRPr="00DE7FB0">
              <w:rPr>
                <w:sz w:val="22"/>
                <w:szCs w:val="22"/>
                <w:highlight w:val="yellow"/>
              </w:rPr>
              <w:t>(1)</w:t>
            </w:r>
          </w:p>
        </w:tc>
        <w:tc>
          <w:tcPr>
            <w:tcW w:w="1440" w:type="dxa"/>
            <w:vAlign w:val="bottom"/>
          </w:tcPr>
          <w:p w:rsidR="00715559" w:rsidRPr="008D6BEA" w:rsidRDefault="00715559" w:rsidP="00B61CCA">
            <w:pPr>
              <w:jc w:val="center"/>
              <w:rPr>
                <w:b/>
              </w:rPr>
            </w:pPr>
            <w:r w:rsidRPr="008D6BEA">
              <w:rPr>
                <w:b/>
                <w:sz w:val="22"/>
                <w:szCs w:val="22"/>
              </w:rPr>
              <w:t>12.367</w:t>
            </w:r>
          </w:p>
          <w:p w:rsidR="00715559" w:rsidRPr="008D6BEA" w:rsidRDefault="00715559" w:rsidP="00B61CCA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715559" w:rsidRPr="008D6BEA" w:rsidRDefault="00715559" w:rsidP="00B61CCA">
            <w:pPr>
              <w:jc w:val="center"/>
              <w:rPr>
                <w:b/>
              </w:rPr>
            </w:pPr>
            <w:r w:rsidRPr="008D6BEA">
              <w:rPr>
                <w:b/>
                <w:sz w:val="22"/>
                <w:szCs w:val="22"/>
              </w:rPr>
              <w:t>12.022</w:t>
            </w:r>
          </w:p>
        </w:tc>
        <w:tc>
          <w:tcPr>
            <w:tcW w:w="2880" w:type="dxa"/>
            <w:vMerge/>
            <w:shd w:val="clear" w:color="auto" w:fill="auto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</w:p>
        </w:tc>
        <w:tc>
          <w:tcPr>
            <w:tcW w:w="3240" w:type="dxa"/>
            <w:vMerge/>
            <w:tcBorders>
              <w:right w:val="nil"/>
            </w:tcBorders>
            <w:shd w:val="clear" w:color="auto" w:fill="auto"/>
          </w:tcPr>
          <w:p w:rsidR="00715559" w:rsidRPr="00F15EE7" w:rsidRDefault="00715559" w:rsidP="00B61C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559" w:rsidRPr="00F15EE7" w:rsidRDefault="00715559" w:rsidP="00B61CCA">
            <w:pPr>
              <w:jc w:val="center"/>
              <w:rPr>
                <w:sz w:val="20"/>
                <w:szCs w:val="20"/>
              </w:rPr>
            </w:pPr>
          </w:p>
        </w:tc>
      </w:tr>
      <w:tr w:rsidR="00715559" w:rsidRPr="00F15EE7" w:rsidTr="00B61CCA">
        <w:trPr>
          <w:cantSplit/>
          <w:trHeight w:val="260"/>
        </w:trPr>
        <w:tc>
          <w:tcPr>
            <w:tcW w:w="2700" w:type="dxa"/>
            <w:vAlign w:val="bottom"/>
          </w:tcPr>
          <w:p w:rsidR="00715559" w:rsidRPr="00DE7FB0" w:rsidRDefault="00715559" w:rsidP="00B61CCA">
            <w:pPr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 xml:space="preserve">Bd5 - </w:t>
            </w:r>
            <w:proofErr w:type="spellStart"/>
            <w:r w:rsidRPr="00DE7FB0">
              <w:rPr>
                <w:b/>
                <w:sz w:val="22"/>
                <w:szCs w:val="22"/>
              </w:rPr>
              <w:t>Corgnolaz</w:t>
            </w:r>
            <w:proofErr w:type="spellEnd"/>
          </w:p>
        </w:tc>
        <w:tc>
          <w:tcPr>
            <w:tcW w:w="1440" w:type="dxa"/>
            <w:vAlign w:val="bottom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  <w:r w:rsidRPr="008E18CE">
              <w:rPr>
                <w:b/>
                <w:sz w:val="22"/>
                <w:szCs w:val="22"/>
              </w:rPr>
              <w:t>5.553</w:t>
            </w:r>
          </w:p>
        </w:tc>
        <w:tc>
          <w:tcPr>
            <w:tcW w:w="1260" w:type="dxa"/>
            <w:vAlign w:val="bottom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5.224</w:t>
            </w:r>
          </w:p>
        </w:tc>
        <w:tc>
          <w:tcPr>
            <w:tcW w:w="2880" w:type="dxa"/>
            <w:shd w:val="clear" w:color="auto" w:fill="auto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Sistema Insediativo Tradizionale: sottosistema a sviluppo turistico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sz w:val="22"/>
                <w:szCs w:val="22"/>
              </w:rPr>
              <w:t>(art. 17, comma1)</w:t>
            </w:r>
          </w:p>
        </w:tc>
        <w:tc>
          <w:tcPr>
            <w:tcW w:w="3240" w:type="dxa"/>
            <w:vMerge/>
            <w:tcBorders>
              <w:right w:val="nil"/>
            </w:tcBorders>
            <w:shd w:val="clear" w:color="auto" w:fill="auto"/>
          </w:tcPr>
          <w:p w:rsidR="00715559" w:rsidRPr="00F15EE7" w:rsidRDefault="00715559" w:rsidP="00B61C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559" w:rsidRPr="00F15EE7" w:rsidRDefault="00715559" w:rsidP="00B61CCA">
            <w:pPr>
              <w:jc w:val="center"/>
              <w:rPr>
                <w:sz w:val="20"/>
                <w:szCs w:val="20"/>
              </w:rPr>
            </w:pPr>
          </w:p>
        </w:tc>
      </w:tr>
    </w:tbl>
    <w:p w:rsidR="00715559" w:rsidRPr="002329D8" w:rsidRDefault="00715559" w:rsidP="00715559">
      <w:pPr>
        <w:rPr>
          <w:b/>
          <w:sz w:val="10"/>
          <w:szCs w:val="10"/>
        </w:rPr>
      </w:pPr>
    </w:p>
    <w:p w:rsidR="00715559" w:rsidRDefault="00715559" w:rsidP="00715559">
      <w:pPr>
        <w:rPr>
          <w:b/>
          <w:sz w:val="22"/>
        </w:rPr>
      </w:pPr>
    </w:p>
    <w:p w:rsidR="00715559" w:rsidRDefault="00715559" w:rsidP="00715559">
      <w:pPr>
        <w:rPr>
          <w:b/>
          <w:sz w:val="22"/>
        </w:rPr>
      </w:pPr>
    </w:p>
    <w:p w:rsidR="00715559" w:rsidRDefault="00715559" w:rsidP="00715559">
      <w:pPr>
        <w:rPr>
          <w:b/>
          <w:sz w:val="22"/>
        </w:rPr>
      </w:pPr>
    </w:p>
    <w:p w:rsidR="00715559" w:rsidRDefault="00715559" w:rsidP="00715559">
      <w:pPr>
        <w:rPr>
          <w:b/>
          <w:sz w:val="22"/>
        </w:rPr>
      </w:pPr>
    </w:p>
    <w:p w:rsidR="00715559" w:rsidRDefault="00715559" w:rsidP="00715559">
      <w:pPr>
        <w:rPr>
          <w:b/>
          <w:sz w:val="22"/>
        </w:rPr>
      </w:pPr>
    </w:p>
    <w:p w:rsidR="00715559" w:rsidRDefault="00715559" w:rsidP="00715559">
      <w:pPr>
        <w:rPr>
          <w:b/>
          <w:sz w:val="22"/>
        </w:rPr>
      </w:pPr>
    </w:p>
    <w:p w:rsidR="00715559" w:rsidRDefault="00715559" w:rsidP="00715559">
      <w:pPr>
        <w:rPr>
          <w:b/>
          <w:sz w:val="22"/>
        </w:rPr>
      </w:pPr>
    </w:p>
    <w:p w:rsidR="00715559" w:rsidRPr="009560C9" w:rsidRDefault="00715559" w:rsidP="00715559">
      <w:pPr>
        <w:rPr>
          <w:b/>
        </w:rPr>
      </w:pPr>
      <w:proofErr w:type="spellStart"/>
      <w:r w:rsidRPr="009560C9">
        <w:rPr>
          <w:b/>
        </w:rPr>
        <w:lastRenderedPageBreak/>
        <w:t>TAB</w:t>
      </w:r>
      <w:proofErr w:type="spellEnd"/>
      <w:r w:rsidRPr="009560C9">
        <w:rPr>
          <w:b/>
        </w:rPr>
        <w:t xml:space="preserve">. 1bis </w:t>
      </w:r>
      <w:proofErr w:type="spellStart"/>
      <w:r w:rsidRPr="009560C9">
        <w:rPr>
          <w:b/>
        </w:rPr>
        <w:t>-Bd</w:t>
      </w:r>
      <w:proofErr w:type="spellEnd"/>
    </w:p>
    <w:p w:rsidR="00715559" w:rsidRDefault="00715559" w:rsidP="00715559">
      <w:pPr>
        <w:rPr>
          <w:sz w:val="10"/>
        </w:rPr>
      </w:pPr>
    </w:p>
    <w:tbl>
      <w:tblPr>
        <w:tblW w:w="1476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2160"/>
        <w:gridCol w:w="2340"/>
        <w:gridCol w:w="1260"/>
        <w:gridCol w:w="1080"/>
        <w:gridCol w:w="1260"/>
        <w:gridCol w:w="1060"/>
        <w:gridCol w:w="920"/>
        <w:gridCol w:w="1080"/>
        <w:gridCol w:w="1080"/>
        <w:gridCol w:w="1080"/>
      </w:tblGrid>
      <w:tr w:rsidR="00715559" w:rsidRPr="00F15EE7" w:rsidTr="00B61CCA">
        <w:trPr>
          <w:trHeight w:val="142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15559" w:rsidRPr="00AF5FCA" w:rsidRDefault="00715559" w:rsidP="00B61CCA">
            <w:pPr>
              <w:tabs>
                <w:tab w:val="left" w:pos="8789"/>
              </w:tabs>
              <w:ind w:right="-70"/>
              <w:jc w:val="center"/>
            </w:pPr>
            <w:r w:rsidRPr="00AF5FCA">
              <w:rPr>
                <w:sz w:val="22"/>
                <w:szCs w:val="22"/>
              </w:rPr>
              <w:t xml:space="preserve">condizioni  minime d’intervento: </w:t>
            </w:r>
          </w:p>
          <w:p w:rsidR="00715559" w:rsidRPr="00AF5FCA" w:rsidRDefault="00715559" w:rsidP="00B61CCA">
            <w:pPr>
              <w:tabs>
                <w:tab w:val="left" w:pos="8789"/>
              </w:tabs>
              <w:ind w:right="-70"/>
              <w:jc w:val="center"/>
            </w:pPr>
            <w:r w:rsidRPr="00AF5FCA">
              <w:rPr>
                <w:sz w:val="22"/>
                <w:szCs w:val="22"/>
              </w:rPr>
              <w:t>titoli abilitativi e strumenti attuativi</w:t>
            </w:r>
          </w:p>
          <w:p w:rsidR="00715559" w:rsidRPr="00AF5FCA" w:rsidRDefault="00715559" w:rsidP="00B61CCA">
            <w:pPr>
              <w:jc w:val="center"/>
              <w:rPr>
                <w:b/>
              </w:rPr>
            </w:pPr>
            <w:r w:rsidRPr="00AF5FCA">
              <w:rPr>
                <w:b/>
                <w:sz w:val="22"/>
                <w:szCs w:val="22"/>
              </w:rPr>
              <w:t>Art. 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15559" w:rsidRDefault="00715559" w:rsidP="00B61CCA">
            <w:pPr>
              <w:tabs>
                <w:tab w:val="left" w:pos="8789"/>
              </w:tabs>
              <w:jc w:val="center"/>
            </w:pPr>
          </w:p>
          <w:p w:rsidR="00715559" w:rsidRPr="00AF5FCA" w:rsidRDefault="00715559" w:rsidP="00B61CCA">
            <w:pPr>
              <w:tabs>
                <w:tab w:val="left" w:pos="8789"/>
              </w:tabs>
              <w:jc w:val="center"/>
            </w:pPr>
            <w:r w:rsidRPr="00AF5FCA">
              <w:rPr>
                <w:sz w:val="22"/>
                <w:szCs w:val="22"/>
              </w:rPr>
              <w:t>modalità di intervento</w:t>
            </w:r>
          </w:p>
          <w:p w:rsidR="00715559" w:rsidRPr="00AF5FCA" w:rsidRDefault="00715559" w:rsidP="00B61CCA">
            <w:pPr>
              <w:tabs>
                <w:tab w:val="left" w:pos="8789"/>
              </w:tabs>
              <w:jc w:val="center"/>
              <w:rPr>
                <w:b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15559" w:rsidRDefault="00715559" w:rsidP="00B61CCA">
            <w:pPr>
              <w:tabs>
                <w:tab w:val="left" w:pos="8789"/>
              </w:tabs>
              <w:jc w:val="center"/>
            </w:pPr>
          </w:p>
          <w:p w:rsidR="00715559" w:rsidRPr="00AF5FCA" w:rsidRDefault="00715559" w:rsidP="00B61CCA">
            <w:pPr>
              <w:tabs>
                <w:tab w:val="left" w:pos="8789"/>
              </w:tabs>
              <w:jc w:val="center"/>
            </w:pPr>
            <w:r w:rsidRPr="00AF5FCA">
              <w:rPr>
                <w:sz w:val="22"/>
                <w:szCs w:val="22"/>
              </w:rPr>
              <w:t>usi ed attività</w:t>
            </w:r>
          </w:p>
          <w:p w:rsidR="00715559" w:rsidRPr="00AF5FCA" w:rsidRDefault="00715559" w:rsidP="00B61CCA">
            <w:pPr>
              <w:jc w:val="center"/>
              <w:rPr>
                <w:b/>
              </w:rPr>
            </w:pPr>
          </w:p>
          <w:p w:rsidR="00715559" w:rsidRPr="00AF5FCA" w:rsidRDefault="00715559" w:rsidP="00B61CCA">
            <w:pPr>
              <w:jc w:val="center"/>
              <w:rPr>
                <w:b/>
              </w:rPr>
            </w:pPr>
          </w:p>
          <w:p w:rsidR="00715559" w:rsidRPr="00AF5FCA" w:rsidRDefault="00715559" w:rsidP="00B61CCA">
            <w:pPr>
              <w:jc w:val="center"/>
              <w:rPr>
                <w:b/>
              </w:rPr>
            </w:pPr>
          </w:p>
          <w:p w:rsidR="00715559" w:rsidRPr="00AF5FCA" w:rsidRDefault="00715559" w:rsidP="00B61CCA">
            <w:pPr>
              <w:jc w:val="center"/>
              <w:rPr>
                <w:b/>
              </w:rPr>
            </w:pPr>
          </w:p>
          <w:p w:rsidR="00715559" w:rsidRPr="00AF5FCA" w:rsidRDefault="00715559" w:rsidP="00B61CCA">
            <w:pPr>
              <w:jc w:val="center"/>
              <w:rPr>
                <w:b/>
              </w:rPr>
            </w:pPr>
            <w:r w:rsidRPr="00AF5FCA">
              <w:rPr>
                <w:b/>
                <w:sz w:val="22"/>
                <w:szCs w:val="22"/>
              </w:rPr>
              <w:t>Art. 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 xml:space="preserve">SUR            </w:t>
            </w:r>
            <w:r w:rsidRPr="00AF5FCA">
              <w:rPr>
                <w:sz w:val="22"/>
                <w:szCs w:val="22"/>
                <w:vertAlign w:val="superscript"/>
              </w:rPr>
              <w:t xml:space="preserve">      </w:t>
            </w:r>
            <w:r w:rsidRPr="00AF5FCA">
              <w:rPr>
                <w:sz w:val="22"/>
                <w:szCs w:val="22"/>
              </w:rPr>
              <w:t xml:space="preserve">riservata alla </w:t>
            </w:r>
          </w:p>
          <w:p w:rsidR="00715559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destinazione d’uso prevalente</w:t>
            </w:r>
          </w:p>
          <w:p w:rsidR="00715559" w:rsidRPr="00AF5FCA" w:rsidRDefault="00715559" w:rsidP="00B61CCA">
            <w:pPr>
              <w:jc w:val="center"/>
            </w:pPr>
            <w:r>
              <w:rPr>
                <w:sz w:val="22"/>
                <w:szCs w:val="22"/>
              </w:rPr>
              <w:t>nella sottozona</w:t>
            </w:r>
            <w:r w:rsidRPr="00AF5FCA">
              <w:rPr>
                <w:sz w:val="22"/>
                <w:szCs w:val="22"/>
              </w:rPr>
              <w:t xml:space="preserve">             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I                    m</w:t>
            </w:r>
            <w:r w:rsidRPr="00AF5FCA">
              <w:rPr>
                <w:sz w:val="22"/>
                <w:szCs w:val="22"/>
                <w:vertAlign w:val="superscript"/>
              </w:rPr>
              <w:t>2</w:t>
            </w:r>
            <w:r w:rsidRPr="00AF5FCA">
              <w:rPr>
                <w:sz w:val="22"/>
                <w:szCs w:val="22"/>
              </w:rPr>
              <w:t>/m</w:t>
            </w:r>
            <w:r w:rsidRPr="00AF5FCA">
              <w:rPr>
                <w:sz w:val="22"/>
                <w:szCs w:val="22"/>
                <w:vertAlign w:val="superscript"/>
              </w:rPr>
              <w:t xml:space="preserve">2       </w:t>
            </w:r>
            <w:r w:rsidRPr="00AF5FCA">
              <w:rPr>
                <w:sz w:val="22"/>
                <w:szCs w:val="22"/>
              </w:rPr>
              <w:t>densità fondiaria</w:t>
            </w:r>
          </w:p>
          <w:p w:rsidR="00715559" w:rsidRDefault="00715559" w:rsidP="00B61CCA">
            <w:pPr>
              <w:jc w:val="center"/>
            </w:pPr>
          </w:p>
          <w:p w:rsidR="00715559" w:rsidRPr="00AF5FCA" w:rsidRDefault="00715559" w:rsidP="00B61CCA">
            <w:pPr>
              <w:jc w:val="center"/>
            </w:pP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  <w:highlight w:val="yellow"/>
              </w:rPr>
              <w:t>(X)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rapporto tra superficie complessiva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e superficie fondiaria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(</w:t>
            </w:r>
            <w:proofErr w:type="spellStart"/>
            <w:r w:rsidRPr="00AF5FCA">
              <w:rPr>
                <w:sz w:val="22"/>
                <w:szCs w:val="22"/>
              </w:rPr>
              <w:t>Scu</w:t>
            </w:r>
            <w:proofErr w:type="spellEnd"/>
            <w:r w:rsidRPr="00AF5FCA">
              <w:rPr>
                <w:sz w:val="22"/>
                <w:szCs w:val="22"/>
              </w:rPr>
              <w:t>/SF)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 xml:space="preserve"> m</w:t>
            </w:r>
            <w:r w:rsidRPr="00AF5FCA">
              <w:rPr>
                <w:sz w:val="22"/>
                <w:szCs w:val="22"/>
                <w:vertAlign w:val="superscript"/>
              </w:rPr>
              <w:t>2</w:t>
            </w:r>
            <w:r w:rsidRPr="00AF5FCA">
              <w:rPr>
                <w:sz w:val="22"/>
                <w:szCs w:val="22"/>
              </w:rPr>
              <w:t>/m</w:t>
            </w:r>
            <w:r w:rsidRPr="00AF5FC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R/C                 m</w:t>
            </w:r>
            <w:r w:rsidRPr="00AF5FCA">
              <w:rPr>
                <w:sz w:val="22"/>
                <w:szCs w:val="22"/>
                <w:vertAlign w:val="superscript"/>
              </w:rPr>
              <w:t>2</w:t>
            </w:r>
            <w:r w:rsidRPr="00AF5FCA">
              <w:rPr>
                <w:sz w:val="22"/>
                <w:szCs w:val="22"/>
              </w:rPr>
              <w:t>/m</w:t>
            </w:r>
            <w:r w:rsidRPr="00AF5FCA">
              <w:rPr>
                <w:sz w:val="22"/>
                <w:szCs w:val="22"/>
                <w:vertAlign w:val="superscript"/>
              </w:rPr>
              <w:t xml:space="preserve">2       </w:t>
            </w:r>
            <w:r w:rsidRPr="00AF5FCA">
              <w:rPr>
                <w:sz w:val="22"/>
                <w:szCs w:val="22"/>
              </w:rPr>
              <w:t xml:space="preserve">rapporto di copertura   </w:t>
            </w:r>
            <w:proofErr w:type="spellStart"/>
            <w:r w:rsidRPr="00AF5FCA">
              <w:rPr>
                <w:sz w:val="22"/>
                <w:szCs w:val="22"/>
              </w:rPr>
              <w:t>max</w:t>
            </w:r>
            <w:proofErr w:type="spellEnd"/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  <w:highlight w:val="yellow"/>
              </w:rPr>
              <w:t>(Y)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 xml:space="preserve">H </w:t>
            </w:r>
            <w:proofErr w:type="spellStart"/>
            <w:r w:rsidRPr="00AF5FCA">
              <w:rPr>
                <w:sz w:val="22"/>
                <w:szCs w:val="22"/>
              </w:rPr>
              <w:t>max</w:t>
            </w:r>
            <w:proofErr w:type="spellEnd"/>
            <w:r w:rsidRPr="00AF5FCA">
              <w:rPr>
                <w:sz w:val="22"/>
                <w:szCs w:val="22"/>
              </w:rPr>
              <w:t xml:space="preserve">        m      altezza massima        </w:t>
            </w:r>
          </w:p>
          <w:p w:rsidR="00715559" w:rsidRPr="00AF5FCA" w:rsidRDefault="00715559" w:rsidP="00B61CCA">
            <w:pPr>
              <w:jc w:val="center"/>
            </w:pPr>
          </w:p>
          <w:p w:rsidR="00715559" w:rsidRPr="00AF5FCA" w:rsidRDefault="00715559" w:rsidP="00B61CCA">
            <w:pPr>
              <w:jc w:val="center"/>
              <w:rPr>
                <w:highlight w:val="yellow"/>
              </w:rPr>
            </w:pP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  <w:highlight w:val="yellow"/>
              </w:rPr>
              <w:t>(Z)</w:t>
            </w:r>
            <w:r w:rsidRPr="00AF5FC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15559" w:rsidRPr="00AF5FCA" w:rsidRDefault="00715559" w:rsidP="00B61CCA">
            <w:pPr>
              <w:jc w:val="center"/>
            </w:pPr>
            <w:proofErr w:type="spellStart"/>
            <w:r w:rsidRPr="00AF5FCA">
              <w:rPr>
                <w:sz w:val="22"/>
                <w:szCs w:val="22"/>
              </w:rPr>
              <w:t>N°</w:t>
            </w:r>
            <w:proofErr w:type="spellEnd"/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 xml:space="preserve">piani fuori terra              </w:t>
            </w:r>
          </w:p>
          <w:p w:rsidR="00715559" w:rsidRPr="00AF5FCA" w:rsidRDefault="00715559" w:rsidP="00B61CCA">
            <w:pPr>
              <w:jc w:val="center"/>
            </w:pPr>
          </w:p>
          <w:p w:rsidR="00715559" w:rsidRPr="00AF5FCA" w:rsidRDefault="00715559" w:rsidP="00B61CCA">
            <w:pPr>
              <w:jc w:val="center"/>
            </w:pPr>
          </w:p>
          <w:p w:rsidR="00715559" w:rsidRPr="00AF5FCA" w:rsidRDefault="00715559" w:rsidP="00B61CCA">
            <w:pPr>
              <w:jc w:val="center"/>
              <w:rPr>
                <w:highlight w:val="yellow"/>
              </w:rPr>
            </w:pP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  <w:highlight w:val="yellow"/>
              </w:rPr>
              <w:t>(W)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 xml:space="preserve">DF             m 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distanza tra i fabbricati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 xml:space="preserve">DC             m 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 xml:space="preserve">distanza 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tra  i confini</w:t>
            </w:r>
          </w:p>
        </w:tc>
      </w:tr>
      <w:tr w:rsidR="00715559" w:rsidRPr="00F15EE7" w:rsidTr="00B61CCA">
        <w:trPr>
          <w:trHeight w:val="255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</w:pPr>
            <w:r w:rsidRPr="00DE7FB0">
              <w:rPr>
                <w:b/>
                <w:sz w:val="22"/>
                <w:szCs w:val="22"/>
              </w:rPr>
              <w:t xml:space="preserve">DIA, </w:t>
            </w:r>
            <w:proofErr w:type="spellStart"/>
            <w:r w:rsidRPr="00DE7FB0">
              <w:rPr>
                <w:b/>
                <w:sz w:val="22"/>
                <w:szCs w:val="22"/>
              </w:rPr>
              <w:t>ced</w:t>
            </w:r>
            <w:proofErr w:type="spellEnd"/>
          </w:p>
          <w:p w:rsidR="00715559" w:rsidRDefault="00715559" w:rsidP="00B61CCA">
            <w:pPr>
              <w:tabs>
                <w:tab w:val="left" w:pos="8789"/>
              </w:tabs>
              <w:spacing w:line="300" w:lineRule="auto"/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------------</w:t>
            </w:r>
          </w:p>
          <w:p w:rsidR="00715559" w:rsidRDefault="00715559" w:rsidP="00B61CCA">
            <w:pPr>
              <w:tabs>
                <w:tab w:val="left" w:pos="8789"/>
              </w:tabs>
              <w:spacing w:line="300" w:lineRule="auto"/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tabs>
                <w:tab w:val="left" w:pos="8789"/>
              </w:tabs>
              <w:spacing w:line="300" w:lineRule="auto"/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tabs>
                <w:tab w:val="left" w:pos="8789"/>
              </w:tabs>
              <w:spacing w:line="30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c</w:t>
            </w:r>
            <w:r w:rsidRPr="00DE7FB0">
              <w:rPr>
                <w:b/>
                <w:sz w:val="22"/>
                <w:szCs w:val="22"/>
              </w:rPr>
              <w:t>omma 6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 xml:space="preserve">PUD </w:t>
            </w:r>
            <w:r w:rsidRPr="00DE7FB0">
              <w:rPr>
                <w:sz w:val="22"/>
                <w:szCs w:val="22"/>
                <w:highlight w:val="yellow"/>
              </w:rPr>
              <w:t>(1)</w:t>
            </w:r>
          </w:p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Art. 8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  <w:bCs/>
              </w:rPr>
            </w:pPr>
            <w:r w:rsidRPr="00DE7FB0">
              <w:rPr>
                <w:b/>
                <w:bCs/>
                <w:sz w:val="22"/>
                <w:szCs w:val="22"/>
              </w:rPr>
              <w:t>comma 1:</w:t>
            </w:r>
          </w:p>
          <w:p w:rsidR="00715559" w:rsidRPr="00DE7FB0" w:rsidRDefault="00715559" w:rsidP="00B61CCA">
            <w:pPr>
              <w:jc w:val="center"/>
              <w:rPr>
                <w:b/>
                <w:bCs/>
              </w:rPr>
            </w:pPr>
            <w:r w:rsidRPr="00DE7FB0">
              <w:rPr>
                <w:b/>
                <w:bCs/>
                <w:sz w:val="22"/>
                <w:szCs w:val="22"/>
              </w:rPr>
              <w:t xml:space="preserve"> </w:t>
            </w:r>
          </w:p>
          <w:p w:rsidR="00715559" w:rsidRPr="00DE7FB0" w:rsidRDefault="00715559" w:rsidP="00B61CCA">
            <w:pPr>
              <w:rPr>
                <w:b/>
                <w:bCs/>
              </w:rPr>
            </w:pPr>
            <w:r w:rsidRPr="00DE7FB0">
              <w:rPr>
                <w:b/>
                <w:bCs/>
                <w:sz w:val="22"/>
                <w:szCs w:val="22"/>
              </w:rPr>
              <w:t xml:space="preserve">a) recupero: </w:t>
            </w:r>
          </w:p>
          <w:p w:rsidR="00715559" w:rsidRPr="00DE7FB0" w:rsidRDefault="00715559" w:rsidP="00B61CCA">
            <w:pPr>
              <w:ind w:left="650"/>
              <w:rPr>
                <w:b/>
                <w:bCs/>
              </w:rPr>
            </w:pPr>
            <w:r w:rsidRPr="00DE7FB0">
              <w:rPr>
                <w:b/>
                <w:bCs/>
                <w:sz w:val="22"/>
                <w:szCs w:val="22"/>
              </w:rPr>
              <w:t>1), 2), 3),  4), 5);</w:t>
            </w:r>
          </w:p>
          <w:p w:rsidR="00715559" w:rsidRPr="00DE7FB0" w:rsidRDefault="00715559" w:rsidP="00B61CCA">
            <w:pPr>
              <w:rPr>
                <w:b/>
                <w:bCs/>
              </w:rPr>
            </w:pPr>
          </w:p>
          <w:p w:rsidR="00715559" w:rsidRPr="00DE7FB0" w:rsidRDefault="00715559" w:rsidP="00B61CCA">
            <w:pPr>
              <w:ind w:right="-70"/>
              <w:rPr>
                <w:b/>
                <w:bCs/>
              </w:rPr>
            </w:pPr>
            <w:r w:rsidRPr="00DE7FB0">
              <w:rPr>
                <w:b/>
                <w:bCs/>
                <w:sz w:val="22"/>
                <w:szCs w:val="22"/>
              </w:rPr>
              <w:t xml:space="preserve">b) nuova costruzione: </w:t>
            </w:r>
          </w:p>
          <w:p w:rsidR="00715559" w:rsidRPr="00DE7FB0" w:rsidRDefault="00715559" w:rsidP="00B61CCA">
            <w:pPr>
              <w:ind w:left="650"/>
              <w:rPr>
                <w:b/>
                <w:bCs/>
              </w:rPr>
            </w:pPr>
            <w:r w:rsidRPr="00DE7FB0">
              <w:rPr>
                <w:b/>
                <w:bCs/>
                <w:sz w:val="22"/>
                <w:szCs w:val="22"/>
              </w:rPr>
              <w:t>1), 2)</w:t>
            </w:r>
            <w:r>
              <w:rPr>
                <w:b/>
                <w:bCs/>
                <w:sz w:val="22"/>
                <w:szCs w:val="22"/>
              </w:rPr>
              <w:t xml:space="preserve">; </w:t>
            </w:r>
            <w:r w:rsidRPr="00DE7FB0">
              <w:rPr>
                <w:b/>
                <w:bCs/>
                <w:sz w:val="22"/>
                <w:szCs w:val="22"/>
              </w:rPr>
              <w:t>6)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DE7FB0">
              <w:rPr>
                <w:sz w:val="22"/>
                <w:szCs w:val="22"/>
                <w:highlight w:val="yellow"/>
              </w:rPr>
              <w:t>(2)</w:t>
            </w:r>
            <w:r w:rsidRPr="00DE7FB0">
              <w:rPr>
                <w:b/>
                <w:bCs/>
                <w:sz w:val="22"/>
                <w:szCs w:val="22"/>
              </w:rPr>
              <w:t>;</w:t>
            </w:r>
          </w:p>
          <w:p w:rsidR="00715559" w:rsidRPr="00DE7FB0" w:rsidRDefault="00715559" w:rsidP="00B61CCA">
            <w:pPr>
              <w:rPr>
                <w:b/>
                <w:bCs/>
              </w:rPr>
            </w:pPr>
          </w:p>
          <w:p w:rsidR="00715559" w:rsidRPr="00DE7FB0" w:rsidRDefault="00715559" w:rsidP="00B61CCA">
            <w:pPr>
              <w:rPr>
                <w:b/>
                <w:bCs/>
              </w:rPr>
            </w:pPr>
            <w:r w:rsidRPr="00DE7FB0">
              <w:rPr>
                <w:b/>
                <w:bCs/>
                <w:sz w:val="22"/>
                <w:szCs w:val="22"/>
              </w:rPr>
              <w:t xml:space="preserve">c) demolizione; </w:t>
            </w:r>
          </w:p>
          <w:p w:rsidR="00715559" w:rsidRPr="00DE7FB0" w:rsidRDefault="00715559" w:rsidP="00B61CCA">
            <w:pPr>
              <w:rPr>
                <w:b/>
                <w:bCs/>
              </w:rPr>
            </w:pPr>
          </w:p>
          <w:p w:rsidR="00715559" w:rsidRPr="00DE7FB0" w:rsidRDefault="00715559" w:rsidP="00B61CCA">
            <w:pPr>
              <w:rPr>
                <w:b/>
                <w:bCs/>
              </w:rPr>
            </w:pPr>
            <w:r w:rsidRPr="00DE7FB0">
              <w:rPr>
                <w:b/>
                <w:bCs/>
                <w:sz w:val="22"/>
                <w:szCs w:val="22"/>
              </w:rPr>
              <w:t xml:space="preserve">d) altri interventi: </w:t>
            </w:r>
          </w:p>
          <w:p w:rsidR="00715559" w:rsidRPr="00DE7FB0" w:rsidRDefault="00715559" w:rsidP="00B61CCA">
            <w:pPr>
              <w:ind w:left="650"/>
              <w:rPr>
                <w:b/>
                <w:bCs/>
              </w:rPr>
            </w:pPr>
            <w:r w:rsidRPr="00DE7FB0">
              <w:rPr>
                <w:b/>
                <w:bCs/>
                <w:sz w:val="22"/>
                <w:szCs w:val="22"/>
              </w:rPr>
              <w:t>1);</w:t>
            </w:r>
          </w:p>
          <w:p w:rsidR="00715559" w:rsidRPr="00DE7FB0" w:rsidRDefault="00715559" w:rsidP="00B61CCA">
            <w:pPr>
              <w:jc w:val="center"/>
              <w:rPr>
                <w:b/>
                <w:bCs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  <w:bCs/>
              </w:rPr>
            </w:pPr>
            <w:r w:rsidRPr="00DE7FB0">
              <w:rPr>
                <w:b/>
                <w:bCs/>
                <w:sz w:val="22"/>
                <w:szCs w:val="22"/>
              </w:rPr>
              <w:t>comma 2</w:t>
            </w:r>
          </w:p>
          <w:p w:rsidR="00715559" w:rsidRDefault="00715559" w:rsidP="00B61CCA">
            <w:pPr>
              <w:jc w:val="center"/>
              <w:rPr>
                <w:b/>
                <w:bCs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------------</w:t>
            </w:r>
          </w:p>
          <w:p w:rsidR="00715559" w:rsidRPr="00DE7FB0" w:rsidRDefault="00715559" w:rsidP="00B61CCA">
            <w:pPr>
              <w:jc w:val="center"/>
              <w:rPr>
                <w:b/>
                <w:bCs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  <w:bCs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Art. 9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rPr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residenza permanente o principale: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 xml:space="preserve">ricettiva turistica 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&gt;50%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  <w:p w:rsidR="00715559" w:rsidRDefault="00715559" w:rsidP="00B61CCA">
            <w:pPr>
              <w:jc w:val="center"/>
              <w:rPr>
                <w:highlight w:val="yellow"/>
              </w:rPr>
            </w:pPr>
          </w:p>
          <w:p w:rsidR="00715559" w:rsidRDefault="00715559" w:rsidP="00B61CCA">
            <w:pPr>
              <w:jc w:val="center"/>
              <w:rPr>
                <w:highlight w:val="yellow"/>
              </w:rPr>
            </w:pPr>
          </w:p>
          <w:p w:rsidR="00715559" w:rsidRDefault="00715559" w:rsidP="00B61CCA">
            <w:pPr>
              <w:jc w:val="center"/>
            </w:pPr>
            <w:r w:rsidRPr="00DE7FB0">
              <w:rPr>
                <w:sz w:val="22"/>
                <w:szCs w:val="22"/>
                <w:highlight w:val="yellow"/>
              </w:rPr>
              <w:t>(5)</w:t>
            </w: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  <w:r w:rsidRPr="00DE7FB0">
              <w:rPr>
                <w:sz w:val="22"/>
                <w:szCs w:val="22"/>
                <w:highlight w:val="yellow"/>
              </w:rPr>
              <w:t>(6)</w:t>
            </w: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rPr>
                <w:b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</w:pPr>
            <w:r w:rsidRPr="00DE7FB0">
              <w:rPr>
                <w:sz w:val="22"/>
                <w:szCs w:val="22"/>
                <w:highlight w:val="yellow"/>
              </w:rPr>
              <w:t>(7)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1/3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</w:pPr>
            <w:r w:rsidRPr="00DE7FB0">
              <w:rPr>
                <w:b/>
                <w:sz w:val="22"/>
                <w:szCs w:val="22"/>
              </w:rPr>
              <w:t>8,50</w:t>
            </w:r>
            <w:r w:rsidRPr="00DE7FB0">
              <w:rPr>
                <w:sz w:val="22"/>
                <w:szCs w:val="22"/>
              </w:rPr>
              <w:t xml:space="preserve">  </w:t>
            </w:r>
            <w:r w:rsidRPr="00DE7FB0">
              <w:rPr>
                <w:sz w:val="22"/>
                <w:szCs w:val="22"/>
                <w:highlight w:val="yellow"/>
              </w:rPr>
              <w:t>(8)</w:t>
            </w: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</w:pPr>
            <w:r w:rsidRPr="00DE7FB0">
              <w:rPr>
                <w:b/>
                <w:sz w:val="22"/>
                <w:szCs w:val="22"/>
              </w:rPr>
              <w:t>2</w:t>
            </w:r>
            <w:r w:rsidRPr="00DE7FB0">
              <w:rPr>
                <w:sz w:val="22"/>
                <w:szCs w:val="22"/>
              </w:rPr>
              <w:t xml:space="preserve">  </w:t>
            </w:r>
            <w:r w:rsidRPr="00DE7FB0">
              <w:rPr>
                <w:sz w:val="22"/>
                <w:szCs w:val="22"/>
                <w:highlight w:val="yellow"/>
              </w:rPr>
              <w:t>(9)</w:t>
            </w: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10,00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5,00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</w:tc>
      </w:tr>
      <w:tr w:rsidR="00715559" w:rsidRPr="00F15EE7" w:rsidTr="00B61CCA">
        <w:trPr>
          <w:trHeight w:val="255"/>
        </w:trPr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/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715559" w:rsidRPr="00065464" w:rsidRDefault="00715559" w:rsidP="00B61CCA">
            <w:pPr>
              <w:jc w:val="center"/>
              <w:rPr>
                <w:b/>
                <w:sz w:val="10"/>
                <w:szCs w:val="10"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abitazione temporanea:</w:t>
            </w:r>
          </w:p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  <w:r w:rsidRPr="00DE7FB0">
              <w:rPr>
                <w:b/>
                <w:sz w:val="22"/>
                <w:szCs w:val="22"/>
              </w:rPr>
              <w:t>dbis1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E7FB0">
              <w:rPr>
                <w:sz w:val="22"/>
                <w:szCs w:val="22"/>
                <w:highlight w:val="yellow"/>
              </w:rPr>
              <w:t>(3)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</w:tr>
      <w:tr w:rsidR="00715559" w:rsidRPr="00F15EE7" w:rsidTr="00B61CCA">
        <w:trPr>
          <w:trHeight w:val="255"/>
        </w:trPr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/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715559" w:rsidRPr="00065464" w:rsidRDefault="00715559" w:rsidP="00B61CCA">
            <w:pPr>
              <w:jc w:val="center"/>
              <w:rPr>
                <w:b/>
                <w:sz w:val="10"/>
                <w:szCs w:val="10"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produttive artigianali di interesse prevalentemente locale:</w:t>
            </w:r>
          </w:p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  <w:r w:rsidRPr="00DE7FB0">
              <w:rPr>
                <w:b/>
                <w:sz w:val="22"/>
                <w:szCs w:val="22"/>
              </w:rPr>
              <w:t>e1</w:t>
            </w:r>
            <w:r w:rsidRPr="00DE7FB0">
              <w:rPr>
                <w:sz w:val="22"/>
                <w:szCs w:val="22"/>
              </w:rPr>
              <w:t xml:space="preserve"> </w:t>
            </w:r>
            <w:r w:rsidRPr="00DE7FB0">
              <w:rPr>
                <w:sz w:val="22"/>
                <w:szCs w:val="22"/>
                <w:highlight w:val="yellow"/>
              </w:rPr>
              <w:t>(4)</w:t>
            </w:r>
            <w:r w:rsidRPr="00DE7FB0">
              <w:rPr>
                <w:sz w:val="22"/>
                <w:szCs w:val="22"/>
              </w:rPr>
              <w:t xml:space="preserve">, </w:t>
            </w:r>
            <w:r w:rsidRPr="00DE7FB0">
              <w:rPr>
                <w:b/>
                <w:sz w:val="22"/>
                <w:szCs w:val="22"/>
              </w:rPr>
              <w:t>e1bis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</w:tr>
      <w:tr w:rsidR="00715559" w:rsidRPr="00F15EE7" w:rsidTr="00B61CCA">
        <w:trPr>
          <w:trHeight w:val="255"/>
        </w:trPr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/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715559" w:rsidRPr="00065464" w:rsidRDefault="00715559" w:rsidP="00B61CCA">
            <w:pPr>
              <w:jc w:val="center"/>
              <w:rPr>
                <w:b/>
                <w:sz w:val="10"/>
                <w:szCs w:val="10"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commerciali di interesse prevalentemente locale:</w:t>
            </w:r>
          </w:p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  <w:r w:rsidRPr="00DE7FB0">
              <w:rPr>
                <w:b/>
                <w:sz w:val="22"/>
                <w:szCs w:val="22"/>
              </w:rPr>
              <w:t>f1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</w:tr>
      <w:tr w:rsidR="00715559" w:rsidRPr="00F15EE7" w:rsidTr="00B61CCA">
        <w:trPr>
          <w:trHeight w:val="255"/>
        </w:trPr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/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715559" w:rsidRPr="00065464" w:rsidRDefault="00715559" w:rsidP="00B61CCA">
            <w:pPr>
              <w:jc w:val="center"/>
              <w:rPr>
                <w:b/>
                <w:sz w:val="10"/>
                <w:szCs w:val="10"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turistiche e ricettive:</w:t>
            </w:r>
          </w:p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  <w:r w:rsidRPr="00DE7FB0">
              <w:rPr>
                <w:b/>
                <w:sz w:val="22"/>
                <w:szCs w:val="22"/>
              </w:rPr>
              <w:t>g1, g2, g7, g10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</w:tr>
      <w:tr w:rsidR="00715559" w:rsidRPr="00F15EE7" w:rsidTr="00B61CCA">
        <w:trPr>
          <w:trHeight w:val="255"/>
        </w:trPr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/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59" w:rsidRPr="00065464" w:rsidRDefault="00715559" w:rsidP="00B61CCA">
            <w:pPr>
              <w:jc w:val="center"/>
              <w:rPr>
                <w:b/>
                <w:sz w:val="10"/>
                <w:szCs w:val="10"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pubbliche di servizio o di pubblico interesse:</w:t>
            </w:r>
          </w:p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  <w:r w:rsidRPr="00DE7FB0">
              <w:rPr>
                <w:b/>
                <w:sz w:val="22"/>
                <w:szCs w:val="22"/>
              </w:rPr>
              <w:t>m1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</w:tr>
    </w:tbl>
    <w:p w:rsidR="00715559" w:rsidRDefault="00715559" w:rsidP="00715559">
      <w:pPr>
        <w:rPr>
          <w:sz w:val="10"/>
          <w:szCs w:val="10"/>
        </w:rPr>
      </w:pPr>
    </w:p>
    <w:p w:rsidR="00715559" w:rsidRDefault="00715559" w:rsidP="00715559">
      <w:pPr>
        <w:rPr>
          <w:sz w:val="10"/>
          <w:szCs w:val="10"/>
        </w:rPr>
      </w:pPr>
    </w:p>
    <w:p w:rsidR="00715559" w:rsidRDefault="00715559" w:rsidP="00715559">
      <w:pPr>
        <w:rPr>
          <w:sz w:val="10"/>
          <w:szCs w:val="10"/>
        </w:rPr>
      </w:pPr>
    </w:p>
    <w:p w:rsidR="00715559" w:rsidRDefault="00715559" w:rsidP="00715559">
      <w:pPr>
        <w:rPr>
          <w:sz w:val="10"/>
          <w:szCs w:val="10"/>
        </w:rPr>
      </w:pPr>
    </w:p>
    <w:p w:rsidR="00715559" w:rsidRDefault="00715559" w:rsidP="00715559">
      <w:pPr>
        <w:rPr>
          <w:sz w:val="10"/>
          <w:szCs w:val="10"/>
        </w:rPr>
      </w:pPr>
    </w:p>
    <w:p w:rsidR="00715559" w:rsidRPr="000E1692" w:rsidRDefault="00715559" w:rsidP="00715559">
      <w:pPr>
        <w:rPr>
          <w:sz w:val="10"/>
          <w:szCs w:val="10"/>
        </w:rPr>
      </w:pPr>
    </w:p>
    <w:tbl>
      <w:tblPr>
        <w:tblW w:w="147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60"/>
      </w:tblGrid>
      <w:tr w:rsidR="00715559" w:rsidRPr="003F7338" w:rsidTr="00B61CCA">
        <w:trPr>
          <w:trHeight w:val="255"/>
        </w:trPr>
        <w:tc>
          <w:tcPr>
            <w:tcW w:w="14760" w:type="dxa"/>
            <w:vAlign w:val="bottom"/>
          </w:tcPr>
          <w:p w:rsidR="00715559" w:rsidRDefault="00715559" w:rsidP="00B61CCA">
            <w:pPr>
              <w:jc w:val="center"/>
              <w:rPr>
                <w:b/>
              </w:rPr>
            </w:pPr>
          </w:p>
          <w:p w:rsidR="00715559" w:rsidRPr="002E365D" w:rsidRDefault="00715559" w:rsidP="00B61CCA">
            <w:pPr>
              <w:jc w:val="center"/>
              <w:rPr>
                <w:b/>
              </w:rPr>
            </w:pPr>
            <w:r w:rsidRPr="002E365D">
              <w:rPr>
                <w:b/>
              </w:rPr>
              <w:t xml:space="preserve">PRESCRIZIONI PARTICOLARI </w:t>
            </w:r>
            <w:proofErr w:type="spellStart"/>
            <w:r w:rsidRPr="002E365D">
              <w:rPr>
                <w:b/>
              </w:rPr>
              <w:t>TAB</w:t>
            </w:r>
            <w:proofErr w:type="spellEnd"/>
            <w:r w:rsidRPr="002E365D">
              <w:rPr>
                <w:b/>
              </w:rPr>
              <w:t xml:space="preserve">. 1bis </w:t>
            </w:r>
            <w:r>
              <w:rPr>
                <w:b/>
              </w:rPr>
              <w:t xml:space="preserve">– </w:t>
            </w:r>
            <w:proofErr w:type="spellStart"/>
            <w:r>
              <w:rPr>
                <w:b/>
              </w:rPr>
              <w:t>Bd</w:t>
            </w:r>
            <w:proofErr w:type="spellEnd"/>
            <w:r>
              <w:rPr>
                <w:b/>
              </w:rPr>
              <w:t xml:space="preserve"> </w:t>
            </w:r>
          </w:p>
          <w:p w:rsidR="00715559" w:rsidRPr="00BE3216" w:rsidRDefault="00715559" w:rsidP="00B61CCA">
            <w:pPr>
              <w:rPr>
                <w:b/>
                <w:sz w:val="10"/>
                <w:szCs w:val="10"/>
              </w:rPr>
            </w:pPr>
          </w:p>
          <w:p w:rsidR="00715559" w:rsidRPr="008D6BEA" w:rsidRDefault="00715559" w:rsidP="00B61CCA">
            <w:pPr>
              <w:spacing w:after="80"/>
              <w:ind w:left="830" w:right="470"/>
              <w:jc w:val="both"/>
            </w:pPr>
            <w:r w:rsidRPr="008D6BEA">
              <w:rPr>
                <w:sz w:val="22"/>
                <w:szCs w:val="22"/>
              </w:rPr>
              <w:t xml:space="preserve">Sul  mappale della sottozona </w:t>
            </w:r>
            <w:r w:rsidRPr="008D6BEA">
              <w:rPr>
                <w:b/>
                <w:sz w:val="22"/>
                <w:szCs w:val="22"/>
              </w:rPr>
              <w:t>Bd1-Berse-Liussel</w:t>
            </w:r>
            <w:r w:rsidRPr="008D6BEA">
              <w:rPr>
                <w:sz w:val="22"/>
                <w:szCs w:val="22"/>
              </w:rPr>
              <w:t>, individuato nella tavola "</w:t>
            </w:r>
            <w:r w:rsidRPr="008D6BEA">
              <w:rPr>
                <w:i/>
                <w:sz w:val="22"/>
                <w:szCs w:val="22"/>
              </w:rPr>
              <w:t>P4 – Carta zonizzazione, servizi e viabilità del PRG</w:t>
            </w:r>
            <w:r w:rsidRPr="008D6BEA">
              <w:rPr>
                <w:sz w:val="22"/>
                <w:szCs w:val="22"/>
              </w:rPr>
              <w:t xml:space="preserve">" quale area sottoposta a speciali limitazioni e disciplina con apposita campitura e sigla “LM3”, è consentita esclusivamente l’abitazione permanente o principale (d1) e </w:t>
            </w:r>
            <w:proofErr w:type="spellStart"/>
            <w:r w:rsidRPr="008D6BEA">
              <w:rPr>
                <w:sz w:val="22"/>
                <w:szCs w:val="22"/>
              </w:rPr>
              <w:t>bed</w:t>
            </w:r>
            <w:proofErr w:type="spellEnd"/>
            <w:r w:rsidRPr="008D6BEA">
              <w:rPr>
                <w:sz w:val="22"/>
                <w:szCs w:val="22"/>
              </w:rPr>
              <w:t xml:space="preserve"> &amp; breakfast (d2).</w:t>
            </w:r>
          </w:p>
          <w:p w:rsidR="00715559" w:rsidRDefault="00715559" w:rsidP="00B61CCA">
            <w:pPr>
              <w:spacing w:after="80"/>
              <w:ind w:left="830" w:right="470"/>
              <w:jc w:val="both"/>
            </w:pPr>
            <w:r w:rsidRPr="008D6BEA">
              <w:rPr>
                <w:sz w:val="22"/>
                <w:szCs w:val="22"/>
              </w:rPr>
              <w:t xml:space="preserve">Nella sottozona </w:t>
            </w:r>
            <w:r w:rsidRPr="008D6BEA">
              <w:rPr>
                <w:b/>
                <w:sz w:val="22"/>
                <w:szCs w:val="22"/>
              </w:rPr>
              <w:t>Bd3-Corgnolaz</w:t>
            </w:r>
            <w:r w:rsidRPr="008D6BEA">
              <w:rPr>
                <w:sz w:val="22"/>
                <w:szCs w:val="22"/>
              </w:rPr>
              <w:t>, individuata nella tavola "</w:t>
            </w:r>
            <w:r w:rsidRPr="008D6BEA">
              <w:rPr>
                <w:i/>
                <w:sz w:val="22"/>
                <w:szCs w:val="22"/>
              </w:rPr>
              <w:t>P4 – Carta zonizzazione, servizi e viabilità del PRG</w:t>
            </w:r>
            <w:r w:rsidRPr="008D6BEA">
              <w:rPr>
                <w:sz w:val="22"/>
                <w:szCs w:val="22"/>
              </w:rPr>
              <w:t xml:space="preserve">" quale area sottoposta a speciali limitazioni e disciplina con apposita campitura e sigla “LM4”, la nuova edificazione, a PUD, potrà essere autorizzata esclusivamente nei terreni a monte della strada comunale da </w:t>
            </w:r>
            <w:proofErr w:type="spellStart"/>
            <w:r w:rsidRPr="008D6BEA">
              <w:rPr>
                <w:sz w:val="22"/>
                <w:szCs w:val="22"/>
              </w:rPr>
              <w:t>Corgnolaz</w:t>
            </w:r>
            <w:proofErr w:type="spellEnd"/>
            <w:r w:rsidRPr="008D6BEA">
              <w:rPr>
                <w:sz w:val="22"/>
                <w:szCs w:val="22"/>
              </w:rPr>
              <w:t xml:space="preserve"> a </w:t>
            </w:r>
            <w:proofErr w:type="spellStart"/>
            <w:r w:rsidRPr="008D6BEA">
              <w:rPr>
                <w:sz w:val="22"/>
                <w:szCs w:val="22"/>
              </w:rPr>
              <w:t>Crépin</w:t>
            </w:r>
            <w:proofErr w:type="spellEnd"/>
            <w:r w:rsidRPr="008D6BEA">
              <w:rPr>
                <w:sz w:val="22"/>
                <w:szCs w:val="22"/>
              </w:rPr>
              <w:t>, mantenendo la capacità edificatoria dei lotti posti a valle della medesima.</w:t>
            </w:r>
          </w:p>
          <w:p w:rsidR="00715559" w:rsidRPr="001526E2" w:rsidRDefault="00715559" w:rsidP="00B61CCA">
            <w:pPr>
              <w:spacing w:after="80"/>
              <w:ind w:left="830" w:right="470"/>
              <w:jc w:val="both"/>
            </w:pPr>
          </w:p>
          <w:p w:rsidR="00715559" w:rsidRPr="00A1782E" w:rsidRDefault="00715559" w:rsidP="00B61CCA">
            <w:pPr>
              <w:spacing w:after="80"/>
              <w:rPr>
                <w:b/>
                <w:u w:val="single"/>
              </w:rPr>
            </w:pPr>
            <w:r w:rsidRPr="00A1782E">
              <w:rPr>
                <w:b/>
                <w:sz w:val="22"/>
                <w:szCs w:val="22"/>
                <w:u w:val="single"/>
              </w:rPr>
              <w:t>condizioni  minime d’intervento</w:t>
            </w:r>
          </w:p>
          <w:p w:rsidR="00715559" w:rsidRPr="003F7338" w:rsidRDefault="00715559" w:rsidP="00B61CCA">
            <w:pPr>
              <w:spacing w:after="80"/>
              <w:ind w:left="1190" w:right="470" w:hanging="360"/>
              <w:jc w:val="both"/>
            </w:pPr>
            <w:r w:rsidRPr="003F7338">
              <w:rPr>
                <w:sz w:val="22"/>
                <w:szCs w:val="22"/>
                <w:highlight w:val="yellow"/>
              </w:rPr>
              <w:t>(1)</w:t>
            </w:r>
            <w:r w:rsidRPr="003F733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S</w:t>
            </w:r>
            <w:r w:rsidRPr="00944907">
              <w:rPr>
                <w:sz w:val="22"/>
                <w:szCs w:val="22"/>
              </w:rPr>
              <w:t>ulle aree libere dall'edificazione delle sottozone</w:t>
            </w:r>
            <w:r w:rsidRPr="003F7338">
              <w:rPr>
                <w:b/>
                <w:sz w:val="22"/>
                <w:szCs w:val="22"/>
              </w:rPr>
              <w:t xml:space="preserve"> Bd3</w:t>
            </w:r>
            <w:r>
              <w:rPr>
                <w:b/>
                <w:sz w:val="22"/>
                <w:szCs w:val="22"/>
              </w:rPr>
              <w:t>-Corgnolaz</w:t>
            </w:r>
            <w:r w:rsidRPr="003F7338">
              <w:rPr>
                <w:b/>
                <w:sz w:val="22"/>
                <w:szCs w:val="22"/>
              </w:rPr>
              <w:t xml:space="preserve"> </w:t>
            </w:r>
            <w:r w:rsidRPr="00944907">
              <w:rPr>
                <w:sz w:val="22"/>
                <w:szCs w:val="22"/>
              </w:rPr>
              <w:t xml:space="preserve">e </w:t>
            </w:r>
            <w:r w:rsidRPr="008D6BEA">
              <w:rPr>
                <w:b/>
                <w:sz w:val="22"/>
                <w:szCs w:val="22"/>
              </w:rPr>
              <w:t>Bd4*-Corgnolaz</w:t>
            </w:r>
            <w:r w:rsidRPr="00944907">
              <w:rPr>
                <w:sz w:val="22"/>
                <w:szCs w:val="22"/>
              </w:rPr>
              <w:t>, individuate nella tavola "</w:t>
            </w:r>
            <w:r w:rsidRPr="00944907">
              <w:rPr>
                <w:i/>
                <w:sz w:val="22"/>
                <w:szCs w:val="22"/>
              </w:rPr>
              <w:t>P4 – Carta zonizzazione, servizi e viabilità del PRG</w:t>
            </w:r>
            <w:r w:rsidRPr="00944907">
              <w:rPr>
                <w:sz w:val="22"/>
                <w:szCs w:val="22"/>
              </w:rPr>
              <w:t xml:space="preserve">" quali aree sottoposte a speciali limitazioni e disciplina </w:t>
            </w:r>
            <w:r>
              <w:rPr>
                <w:sz w:val="22"/>
                <w:szCs w:val="22"/>
              </w:rPr>
              <w:t>con apposita campitura e sigla</w:t>
            </w:r>
            <w:r w:rsidRPr="00944907">
              <w:rPr>
                <w:sz w:val="22"/>
                <w:szCs w:val="22"/>
              </w:rPr>
              <w:t xml:space="preserve"> “LM”, ogni intervento edilizio di nuova costruzione o mutamento dell'esistente destinazione d'uso è assoggettato  alla preventiva redazione di PUD ai sensi delle disposizioni di cui alla lettera a) dell'art. 9 delle NTA.</w:t>
            </w:r>
          </w:p>
          <w:p w:rsidR="00715559" w:rsidRPr="00BE3216" w:rsidRDefault="00715559" w:rsidP="00B61CCA">
            <w:pPr>
              <w:spacing w:after="80"/>
              <w:rPr>
                <w:b/>
                <w:sz w:val="10"/>
                <w:szCs w:val="10"/>
              </w:rPr>
            </w:pPr>
          </w:p>
          <w:p w:rsidR="00715559" w:rsidRPr="00A1782E" w:rsidRDefault="00715559" w:rsidP="00B61CCA">
            <w:pPr>
              <w:spacing w:after="80"/>
              <w:rPr>
                <w:b/>
                <w:u w:val="single"/>
              </w:rPr>
            </w:pPr>
            <w:r w:rsidRPr="00A1782E">
              <w:rPr>
                <w:b/>
                <w:sz w:val="22"/>
                <w:szCs w:val="22"/>
                <w:u w:val="single"/>
              </w:rPr>
              <w:t>modalità di intervento</w:t>
            </w:r>
          </w:p>
          <w:p w:rsidR="00715559" w:rsidRPr="003F7338" w:rsidRDefault="00715559" w:rsidP="00B61CCA">
            <w:pPr>
              <w:spacing w:after="80"/>
              <w:ind w:left="1190" w:hanging="360"/>
            </w:pPr>
            <w:r w:rsidRPr="003F7338">
              <w:rPr>
                <w:sz w:val="22"/>
                <w:szCs w:val="22"/>
                <w:highlight w:val="yellow"/>
              </w:rPr>
              <w:t>(2)</w:t>
            </w:r>
            <w:r>
              <w:rPr>
                <w:sz w:val="22"/>
                <w:szCs w:val="22"/>
              </w:rPr>
              <w:t xml:space="preserve">  S</w:t>
            </w:r>
            <w:r w:rsidRPr="003F7338">
              <w:rPr>
                <w:sz w:val="22"/>
                <w:szCs w:val="22"/>
              </w:rPr>
              <w:t xml:space="preserve">trutture </w:t>
            </w:r>
            <w:proofErr w:type="spellStart"/>
            <w:r w:rsidRPr="003F7338">
              <w:rPr>
                <w:sz w:val="22"/>
                <w:szCs w:val="22"/>
              </w:rPr>
              <w:t>pertinenziali</w:t>
            </w:r>
            <w:proofErr w:type="spellEnd"/>
            <w:r w:rsidRPr="003F7338">
              <w:rPr>
                <w:sz w:val="22"/>
                <w:szCs w:val="22"/>
              </w:rPr>
              <w:t xml:space="preserve"> di cui al comma 10 dell'art. 59 delle NTA.</w:t>
            </w:r>
          </w:p>
          <w:p w:rsidR="00715559" w:rsidRPr="00BE3216" w:rsidRDefault="00715559" w:rsidP="00B61CCA">
            <w:pPr>
              <w:spacing w:after="80"/>
              <w:rPr>
                <w:b/>
                <w:sz w:val="10"/>
                <w:szCs w:val="10"/>
              </w:rPr>
            </w:pPr>
          </w:p>
          <w:p w:rsidR="00715559" w:rsidRPr="00A1782E" w:rsidRDefault="00715559" w:rsidP="00B61CCA">
            <w:pPr>
              <w:spacing w:after="80"/>
              <w:rPr>
                <w:b/>
                <w:u w:val="single"/>
              </w:rPr>
            </w:pPr>
            <w:r w:rsidRPr="00A1782E">
              <w:rPr>
                <w:b/>
                <w:sz w:val="22"/>
                <w:szCs w:val="22"/>
                <w:u w:val="single"/>
              </w:rPr>
              <w:t>usi ed attività</w:t>
            </w:r>
          </w:p>
          <w:p w:rsidR="00715559" w:rsidRPr="003F7338" w:rsidRDefault="00715559" w:rsidP="00B61CCA">
            <w:pPr>
              <w:spacing w:after="80"/>
              <w:ind w:left="1190" w:hanging="360"/>
            </w:pPr>
            <w:r w:rsidRPr="003F7338">
              <w:rPr>
                <w:sz w:val="22"/>
                <w:szCs w:val="22"/>
                <w:highlight w:val="yellow"/>
              </w:rPr>
              <w:t>(3)</w:t>
            </w:r>
            <w:r w:rsidRPr="003F733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F</w:t>
            </w:r>
            <w:r w:rsidRPr="003F7338">
              <w:rPr>
                <w:sz w:val="22"/>
                <w:szCs w:val="22"/>
              </w:rPr>
              <w:t>atto salvo il rispetto degli equilibri funzionali è ammessa:</w:t>
            </w:r>
          </w:p>
          <w:p w:rsidR="00715559" w:rsidRPr="003F7338" w:rsidRDefault="00715559" w:rsidP="00B61CCA">
            <w:pPr>
              <w:spacing w:after="80"/>
              <w:ind w:left="1190" w:hanging="360"/>
            </w:pPr>
            <w:r w:rsidRPr="003F7338">
              <w:rPr>
                <w:sz w:val="22"/>
                <w:szCs w:val="22"/>
              </w:rPr>
              <w:t xml:space="preserve">       -  senza condizioni nelle sottozone </w:t>
            </w:r>
            <w:r w:rsidRPr="00BB422F">
              <w:rPr>
                <w:b/>
                <w:sz w:val="22"/>
                <w:szCs w:val="22"/>
              </w:rPr>
              <w:t>Bd1-Berse-Liussel</w:t>
            </w:r>
            <w:r w:rsidRPr="003F7338">
              <w:rPr>
                <w:sz w:val="22"/>
                <w:szCs w:val="22"/>
              </w:rPr>
              <w:t xml:space="preserve"> e </w:t>
            </w:r>
            <w:r w:rsidRPr="00BB422F">
              <w:rPr>
                <w:b/>
                <w:sz w:val="22"/>
                <w:szCs w:val="22"/>
              </w:rPr>
              <w:t>Bd2-Liussel</w:t>
            </w:r>
            <w:r w:rsidRPr="003F7338">
              <w:rPr>
                <w:sz w:val="22"/>
                <w:szCs w:val="22"/>
              </w:rPr>
              <w:t>;</w:t>
            </w:r>
          </w:p>
          <w:p w:rsidR="00715559" w:rsidRPr="003F7338" w:rsidRDefault="00715559" w:rsidP="00B61CCA">
            <w:pPr>
              <w:spacing w:after="80"/>
              <w:ind w:left="1550" w:right="290" w:hanging="360"/>
              <w:jc w:val="both"/>
            </w:pPr>
            <w:r w:rsidRPr="003F7338">
              <w:rPr>
                <w:sz w:val="22"/>
                <w:szCs w:val="22"/>
              </w:rPr>
              <w:t xml:space="preserve">-  nelle sottozone </w:t>
            </w:r>
            <w:r w:rsidRPr="00944907">
              <w:rPr>
                <w:b/>
                <w:sz w:val="22"/>
                <w:szCs w:val="22"/>
              </w:rPr>
              <w:t>Bd3-Corgnolaz</w:t>
            </w:r>
            <w:r w:rsidRPr="003F7338">
              <w:rPr>
                <w:sz w:val="22"/>
                <w:szCs w:val="22"/>
              </w:rPr>
              <w:t xml:space="preserve">, </w:t>
            </w:r>
            <w:r w:rsidRPr="008D6BEA">
              <w:rPr>
                <w:b/>
                <w:sz w:val="22"/>
                <w:szCs w:val="22"/>
              </w:rPr>
              <w:t>Bd4*-Corgnolaz</w:t>
            </w:r>
            <w:r w:rsidRPr="003F7338">
              <w:rPr>
                <w:sz w:val="22"/>
                <w:szCs w:val="22"/>
              </w:rPr>
              <w:t xml:space="preserve"> e </w:t>
            </w:r>
            <w:r w:rsidRPr="00944907">
              <w:rPr>
                <w:b/>
                <w:sz w:val="22"/>
                <w:szCs w:val="22"/>
              </w:rPr>
              <w:t>Bd5-Corgnolaz</w:t>
            </w:r>
            <w:r w:rsidRPr="003F7338">
              <w:rPr>
                <w:sz w:val="22"/>
                <w:szCs w:val="22"/>
              </w:rPr>
              <w:t xml:space="preserve"> subordinatamente alla condizione della contestuale costruzione di </w:t>
            </w:r>
            <w:r>
              <w:rPr>
                <w:sz w:val="22"/>
                <w:szCs w:val="22"/>
              </w:rPr>
              <w:t xml:space="preserve">nuove </w:t>
            </w:r>
            <w:r w:rsidRPr="003F7338">
              <w:rPr>
                <w:sz w:val="22"/>
                <w:szCs w:val="22"/>
              </w:rPr>
              <w:t xml:space="preserve">strutture ricettive alberghiere ed extralberghiere, purché ricavate nello stesso organismo edilizio, nella misura massima </w:t>
            </w:r>
            <w:r w:rsidRPr="00093DFE">
              <w:rPr>
                <w:sz w:val="22"/>
                <w:szCs w:val="22"/>
              </w:rPr>
              <w:t xml:space="preserve">del </w:t>
            </w:r>
            <w:r w:rsidRPr="00CA39E9">
              <w:rPr>
                <w:sz w:val="22"/>
                <w:szCs w:val="22"/>
              </w:rPr>
              <w:t>20%</w:t>
            </w:r>
            <w:r w:rsidRPr="00093DFE">
              <w:rPr>
                <w:sz w:val="22"/>
                <w:szCs w:val="22"/>
              </w:rPr>
              <w:t xml:space="preserve"> della</w:t>
            </w:r>
            <w:r w:rsidRPr="003F7338">
              <w:rPr>
                <w:sz w:val="22"/>
                <w:szCs w:val="22"/>
              </w:rPr>
              <w:t xml:space="preserve"> </w:t>
            </w:r>
            <w:proofErr w:type="spellStart"/>
            <w:r w:rsidRPr="003F7338">
              <w:rPr>
                <w:sz w:val="22"/>
                <w:szCs w:val="22"/>
              </w:rPr>
              <w:t>Sur</w:t>
            </w:r>
            <w:proofErr w:type="spellEnd"/>
            <w:r w:rsidRPr="003F7338">
              <w:rPr>
                <w:sz w:val="22"/>
                <w:szCs w:val="22"/>
              </w:rPr>
              <w:t xml:space="preserve"> ricettiva con un minimo garantito di </w:t>
            </w:r>
            <w:smartTag w:uri="urn:schemas-microsoft-com:office:smarttags" w:element="metricconverter">
              <w:smartTagPr>
                <w:attr w:name="ProductID" w:val="60 m2"/>
              </w:smartTagPr>
              <w:r w:rsidRPr="003F7338">
                <w:rPr>
                  <w:sz w:val="22"/>
                  <w:szCs w:val="22"/>
                </w:rPr>
                <w:t>60 m</w:t>
              </w:r>
              <w:r w:rsidRPr="003F7338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3F7338">
              <w:rPr>
                <w:sz w:val="22"/>
                <w:szCs w:val="22"/>
              </w:rPr>
              <w:t xml:space="preserve"> e nel rispetto della densità fondiaria complessiva ammessa sul lotto per le strutture ricettive alberghiere di cui alla lettera a) della successiva nota 5).</w:t>
            </w:r>
          </w:p>
          <w:p w:rsidR="00715559" w:rsidRPr="003F7338" w:rsidRDefault="00715559" w:rsidP="00B61CCA">
            <w:pPr>
              <w:spacing w:after="80"/>
              <w:ind w:left="1370" w:right="290" w:hanging="540"/>
              <w:jc w:val="both"/>
              <w:rPr>
                <w:highlight w:val="yellow"/>
              </w:rPr>
            </w:pPr>
            <w:r w:rsidRPr="003F7338">
              <w:rPr>
                <w:sz w:val="22"/>
                <w:szCs w:val="22"/>
                <w:highlight w:val="yellow"/>
              </w:rPr>
              <w:t>(4)</w:t>
            </w:r>
            <w:r>
              <w:rPr>
                <w:sz w:val="22"/>
                <w:szCs w:val="22"/>
              </w:rPr>
              <w:t xml:space="preserve">  I</w:t>
            </w:r>
            <w:r w:rsidRPr="003F7338">
              <w:rPr>
                <w:sz w:val="22"/>
                <w:szCs w:val="22"/>
              </w:rPr>
              <w:t>n atto e/o per modeste attività artigianali non inquinanti, né nocive, né rumorose, né moleste, compatibili con la destinazione prevalente di sottozona.</w:t>
            </w:r>
            <w:r w:rsidRPr="003F7338">
              <w:rPr>
                <w:sz w:val="22"/>
                <w:szCs w:val="22"/>
                <w:highlight w:val="yellow"/>
              </w:rPr>
              <w:t xml:space="preserve"> </w:t>
            </w:r>
          </w:p>
          <w:p w:rsidR="00715559" w:rsidRPr="00F81BF0" w:rsidRDefault="00715559" w:rsidP="00B61CCA">
            <w:pPr>
              <w:spacing w:after="80"/>
              <w:ind w:right="290"/>
              <w:jc w:val="both"/>
              <w:rPr>
                <w:b/>
                <w:sz w:val="10"/>
                <w:szCs w:val="10"/>
              </w:rPr>
            </w:pPr>
          </w:p>
          <w:p w:rsidR="00715559" w:rsidRPr="00A1782E" w:rsidRDefault="00715559" w:rsidP="00B61CCA">
            <w:pPr>
              <w:spacing w:after="80"/>
              <w:ind w:right="290"/>
              <w:jc w:val="both"/>
              <w:rPr>
                <w:b/>
                <w:u w:val="single"/>
              </w:rPr>
            </w:pPr>
            <w:r w:rsidRPr="00A1782E">
              <w:rPr>
                <w:b/>
                <w:sz w:val="22"/>
                <w:szCs w:val="22"/>
                <w:u w:val="single"/>
              </w:rPr>
              <w:t>parametri  edilizi</w:t>
            </w:r>
          </w:p>
          <w:p w:rsidR="00715559" w:rsidRPr="003F7338" w:rsidRDefault="00715559" w:rsidP="00B61CCA">
            <w:pPr>
              <w:spacing w:after="80"/>
              <w:ind w:left="1190" w:right="290" w:hanging="360"/>
              <w:jc w:val="both"/>
            </w:pPr>
            <w:r>
              <w:rPr>
                <w:sz w:val="22"/>
                <w:szCs w:val="22"/>
                <w:highlight w:val="yellow"/>
              </w:rPr>
              <w:t>(X</w:t>
            </w:r>
            <w:r w:rsidRPr="003F7338">
              <w:rPr>
                <w:sz w:val="22"/>
                <w:szCs w:val="22"/>
                <w:highlight w:val="yellow"/>
              </w:rPr>
              <w:t>)</w:t>
            </w:r>
            <w:r>
              <w:rPr>
                <w:sz w:val="22"/>
                <w:szCs w:val="22"/>
              </w:rPr>
              <w:t xml:space="preserve">  D</w:t>
            </w:r>
            <w:r w:rsidRPr="003F7338">
              <w:rPr>
                <w:sz w:val="22"/>
                <w:szCs w:val="22"/>
              </w:rPr>
              <w:t xml:space="preserve">ensità fondiaria massima per edifici pubblici  e di interesse generale pari a </w:t>
            </w:r>
            <w:r w:rsidRPr="003F7338">
              <w:rPr>
                <w:b/>
                <w:sz w:val="22"/>
                <w:szCs w:val="22"/>
              </w:rPr>
              <w:t>0,35</w:t>
            </w:r>
            <w:r w:rsidRPr="003F7338">
              <w:rPr>
                <w:sz w:val="22"/>
                <w:szCs w:val="22"/>
              </w:rPr>
              <w:t xml:space="preserve"> 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>/m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>.</w:t>
            </w:r>
          </w:p>
          <w:p w:rsidR="00715559" w:rsidRPr="003F7338" w:rsidRDefault="00715559" w:rsidP="00B61CCA">
            <w:pPr>
              <w:spacing w:after="80"/>
              <w:ind w:left="830" w:right="290"/>
              <w:jc w:val="both"/>
              <w:rPr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lastRenderedPageBreak/>
              <w:t>(Y</w:t>
            </w:r>
            <w:r w:rsidRPr="003F7338">
              <w:rPr>
                <w:sz w:val="22"/>
                <w:szCs w:val="22"/>
                <w:highlight w:val="yellow"/>
              </w:rPr>
              <w:t>)</w:t>
            </w:r>
            <w:r w:rsidRPr="003F733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P</w:t>
            </w:r>
            <w:r w:rsidRPr="003F7338">
              <w:rPr>
                <w:sz w:val="22"/>
                <w:szCs w:val="22"/>
              </w:rPr>
              <w:t xml:space="preserve">er edifici pubblici  e di interesse generale il rapporto di copertura è pari a </w:t>
            </w:r>
            <w:r w:rsidRPr="00093DFE">
              <w:rPr>
                <w:b/>
                <w:sz w:val="22"/>
                <w:szCs w:val="22"/>
              </w:rPr>
              <w:t>1/3</w:t>
            </w:r>
            <w:r w:rsidRPr="003F7338">
              <w:rPr>
                <w:sz w:val="22"/>
                <w:szCs w:val="22"/>
              </w:rPr>
              <w:t>.</w:t>
            </w:r>
            <w:r w:rsidRPr="003F7338">
              <w:rPr>
                <w:sz w:val="22"/>
                <w:szCs w:val="22"/>
                <w:highlight w:val="yellow"/>
              </w:rPr>
              <w:t xml:space="preserve"> </w:t>
            </w:r>
          </w:p>
          <w:p w:rsidR="00715559" w:rsidRPr="003F7338" w:rsidRDefault="00715559" w:rsidP="00B61CCA">
            <w:pPr>
              <w:spacing w:after="80"/>
              <w:ind w:left="830" w:right="290"/>
              <w:jc w:val="both"/>
            </w:pPr>
            <w:r>
              <w:rPr>
                <w:sz w:val="22"/>
                <w:szCs w:val="22"/>
                <w:highlight w:val="yellow"/>
              </w:rPr>
              <w:t>(Z</w:t>
            </w:r>
            <w:r w:rsidRPr="003F7338">
              <w:rPr>
                <w:sz w:val="22"/>
                <w:szCs w:val="22"/>
                <w:highlight w:val="yellow"/>
              </w:rPr>
              <w:t>)</w:t>
            </w:r>
            <w:r>
              <w:rPr>
                <w:sz w:val="22"/>
                <w:szCs w:val="22"/>
              </w:rPr>
              <w:t xml:space="preserve">  P</w:t>
            </w:r>
            <w:r w:rsidRPr="003F7338">
              <w:rPr>
                <w:sz w:val="22"/>
                <w:szCs w:val="22"/>
              </w:rPr>
              <w:t xml:space="preserve">er edifici pubblici  e di interesse generale l’altezza massima è di </w:t>
            </w:r>
            <w:smartTag w:uri="urn:schemas-microsoft-com:office:smarttags" w:element="metricconverter">
              <w:smartTagPr>
                <w:attr w:name="ProductID" w:val="10,50 m"/>
              </w:smartTagPr>
              <w:r w:rsidRPr="00093DFE">
                <w:rPr>
                  <w:b/>
                  <w:sz w:val="22"/>
                  <w:szCs w:val="22"/>
                </w:rPr>
                <w:t>10,50</w:t>
              </w:r>
              <w:r w:rsidRPr="003F7338">
                <w:rPr>
                  <w:sz w:val="22"/>
                  <w:szCs w:val="22"/>
                </w:rPr>
                <w:t xml:space="preserve"> m</w:t>
              </w:r>
            </w:smartTag>
            <w:r w:rsidRPr="003F7338">
              <w:rPr>
                <w:sz w:val="22"/>
                <w:szCs w:val="22"/>
              </w:rPr>
              <w:t xml:space="preserve"> per tutte le sottozone.</w:t>
            </w:r>
          </w:p>
          <w:p w:rsidR="00715559" w:rsidRPr="003F7338" w:rsidRDefault="00715559" w:rsidP="00B61CCA">
            <w:pPr>
              <w:spacing w:after="80"/>
              <w:ind w:left="830" w:right="290"/>
              <w:jc w:val="both"/>
            </w:pPr>
            <w:r>
              <w:rPr>
                <w:sz w:val="22"/>
                <w:szCs w:val="22"/>
                <w:highlight w:val="yellow"/>
              </w:rPr>
              <w:t>(W</w:t>
            </w:r>
            <w:r w:rsidRPr="003F7338">
              <w:rPr>
                <w:sz w:val="22"/>
                <w:szCs w:val="22"/>
                <w:highlight w:val="yellow"/>
              </w:rPr>
              <w:t>)</w:t>
            </w:r>
            <w:r>
              <w:rPr>
                <w:sz w:val="22"/>
                <w:szCs w:val="22"/>
              </w:rPr>
              <w:t xml:space="preserve">  P</w:t>
            </w:r>
            <w:r w:rsidRPr="003F7338">
              <w:rPr>
                <w:sz w:val="22"/>
                <w:szCs w:val="22"/>
              </w:rPr>
              <w:t>er edifici pubblici  e di interesse generale il numero ma</w:t>
            </w:r>
            <w:r>
              <w:rPr>
                <w:sz w:val="22"/>
                <w:szCs w:val="22"/>
              </w:rPr>
              <w:t>ssimo</w:t>
            </w:r>
            <w:r w:rsidRPr="003F7338">
              <w:rPr>
                <w:sz w:val="22"/>
                <w:szCs w:val="22"/>
              </w:rPr>
              <w:t xml:space="preserve"> di piani è pari </w:t>
            </w:r>
            <w:r w:rsidRPr="00093DFE">
              <w:rPr>
                <w:b/>
                <w:sz w:val="22"/>
                <w:szCs w:val="22"/>
              </w:rPr>
              <w:t>a 3+1 mansardato di sottotetto</w:t>
            </w:r>
            <w:r w:rsidRPr="003F7338">
              <w:rPr>
                <w:sz w:val="22"/>
                <w:szCs w:val="22"/>
              </w:rPr>
              <w:t>.</w:t>
            </w:r>
          </w:p>
          <w:p w:rsidR="00715559" w:rsidRPr="00F81BF0" w:rsidRDefault="00715559" w:rsidP="00B61CCA">
            <w:pPr>
              <w:spacing w:after="80"/>
              <w:ind w:left="830" w:right="290"/>
              <w:jc w:val="both"/>
              <w:rPr>
                <w:sz w:val="10"/>
                <w:szCs w:val="10"/>
              </w:rPr>
            </w:pPr>
          </w:p>
          <w:p w:rsidR="00715559" w:rsidRDefault="00715559" w:rsidP="00B61CCA">
            <w:pPr>
              <w:spacing w:after="80"/>
              <w:ind w:left="1550" w:right="290" w:hanging="720"/>
              <w:jc w:val="both"/>
            </w:pPr>
            <w:r w:rsidRPr="003F7338">
              <w:rPr>
                <w:sz w:val="22"/>
                <w:szCs w:val="22"/>
                <w:highlight w:val="yellow"/>
              </w:rPr>
              <w:t>(5)</w:t>
            </w:r>
            <w:r w:rsidRPr="003F7338">
              <w:rPr>
                <w:sz w:val="22"/>
                <w:szCs w:val="22"/>
              </w:rPr>
              <w:t xml:space="preserve">  a) </w:t>
            </w:r>
            <w:r>
              <w:rPr>
                <w:sz w:val="22"/>
                <w:szCs w:val="22"/>
              </w:rPr>
              <w:t>D</w:t>
            </w:r>
            <w:r w:rsidRPr="003F7338">
              <w:rPr>
                <w:sz w:val="22"/>
                <w:szCs w:val="22"/>
              </w:rPr>
              <w:t xml:space="preserve">ensità pari a </w:t>
            </w:r>
            <w:r w:rsidRPr="003F7338">
              <w:rPr>
                <w:b/>
                <w:sz w:val="22"/>
                <w:szCs w:val="22"/>
              </w:rPr>
              <w:t xml:space="preserve">0,75 </w:t>
            </w:r>
            <w:r w:rsidRPr="003F7338">
              <w:rPr>
                <w:sz w:val="22"/>
                <w:szCs w:val="22"/>
              </w:rPr>
              <w:t>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>/m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 xml:space="preserve"> nel caso di destinazione ricettiva alberghiera (sottocategorie “g1” </w:t>
            </w:r>
            <w:r w:rsidRPr="008D6BEA">
              <w:rPr>
                <w:sz w:val="22"/>
                <w:szCs w:val="22"/>
              </w:rPr>
              <w:t xml:space="preserve">e “g2”) con possibilità per gli interventi di nuova costruzione di realizzare 1 (una) unità residenziale con SUR massima pari a </w:t>
            </w:r>
            <w:smartTag w:uri="urn:schemas-microsoft-com:office:smarttags" w:element="metricconverter">
              <w:smartTagPr>
                <w:attr w:name="ProductID" w:val="90 m2"/>
              </w:smartTagPr>
              <w:r w:rsidRPr="008D6BEA">
                <w:rPr>
                  <w:sz w:val="22"/>
                  <w:szCs w:val="22"/>
                </w:rPr>
                <w:t>90 m</w:t>
              </w:r>
              <w:r w:rsidRPr="008D6BEA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8D6BEA">
              <w:rPr>
                <w:sz w:val="22"/>
                <w:szCs w:val="22"/>
              </w:rPr>
              <w:t xml:space="preserve"> esclusivamente</w:t>
            </w:r>
            <w:r w:rsidRPr="003F7338">
              <w:rPr>
                <w:sz w:val="22"/>
                <w:szCs w:val="22"/>
              </w:rPr>
              <w:t xml:space="preserve"> destinata al titolare o al conduttore dell’attività, prescindendo per quest’ultima destinazione dal calcolo della densità stabilita;</w:t>
            </w:r>
          </w:p>
          <w:p w:rsidR="00715559" w:rsidRPr="003F7338" w:rsidRDefault="00715559" w:rsidP="00B61CCA">
            <w:pPr>
              <w:spacing w:after="80"/>
              <w:ind w:left="1550" w:right="290" w:hanging="720"/>
              <w:jc w:val="both"/>
            </w:pPr>
          </w:p>
          <w:p w:rsidR="00715559" w:rsidRPr="003F7338" w:rsidRDefault="00715559" w:rsidP="00B61CCA">
            <w:pPr>
              <w:spacing w:after="80"/>
              <w:ind w:left="1550" w:right="290" w:hanging="720"/>
              <w:jc w:val="both"/>
            </w:pPr>
            <w:r w:rsidRPr="003F7338">
              <w:rPr>
                <w:sz w:val="22"/>
                <w:szCs w:val="22"/>
              </w:rPr>
              <w:t xml:space="preserve">       b) densità pari a </w:t>
            </w:r>
            <w:r w:rsidRPr="003F7338">
              <w:rPr>
                <w:b/>
                <w:sz w:val="22"/>
                <w:szCs w:val="22"/>
              </w:rPr>
              <w:t>0,35</w:t>
            </w:r>
            <w:r w:rsidRPr="003F7338">
              <w:rPr>
                <w:sz w:val="22"/>
                <w:szCs w:val="22"/>
              </w:rPr>
              <w:t xml:space="preserve"> 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>/m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 xml:space="preserve">  per destinazioni artigianale, commerciale e </w:t>
            </w:r>
            <w:proofErr w:type="spellStart"/>
            <w:r w:rsidRPr="003F7338">
              <w:rPr>
                <w:sz w:val="22"/>
                <w:szCs w:val="22"/>
              </w:rPr>
              <w:t>turistico-ricettiva</w:t>
            </w:r>
            <w:proofErr w:type="spellEnd"/>
            <w:r w:rsidRPr="003F7338">
              <w:rPr>
                <w:sz w:val="22"/>
                <w:szCs w:val="22"/>
              </w:rPr>
              <w:t xml:space="preserve"> extralberghiera con possibilità di realizzare 1 (una) unità residenziale con SUR massima pari a </w:t>
            </w:r>
            <w:smartTag w:uri="urn:schemas-microsoft-com:office:smarttags" w:element="metricconverter">
              <w:smartTagPr>
                <w:attr w:name="ProductID" w:val="90 m2"/>
              </w:smartTagPr>
              <w:r w:rsidRPr="003F7338">
                <w:rPr>
                  <w:sz w:val="22"/>
                  <w:szCs w:val="22"/>
                </w:rPr>
                <w:t>90 m</w:t>
              </w:r>
              <w:r w:rsidRPr="003F7338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3F7338">
              <w:rPr>
                <w:sz w:val="22"/>
                <w:szCs w:val="22"/>
              </w:rPr>
              <w:t xml:space="preserve"> esclusivamente destinata al titolare o al conduttore dell’attività, prescindendo per quest’ultima destinazione dal calcolo della densità stabilita;</w:t>
            </w:r>
          </w:p>
          <w:p w:rsidR="00715559" w:rsidRPr="003F7338" w:rsidRDefault="00715559" w:rsidP="00B61CCA">
            <w:pPr>
              <w:spacing w:after="80"/>
              <w:ind w:left="1370" w:right="290" w:hanging="180"/>
              <w:jc w:val="both"/>
            </w:pPr>
            <w:r w:rsidRPr="003F7338">
              <w:rPr>
                <w:sz w:val="22"/>
                <w:szCs w:val="22"/>
              </w:rPr>
              <w:t xml:space="preserve">c) densità pari a </w:t>
            </w:r>
            <w:r w:rsidRPr="003F7338">
              <w:rPr>
                <w:b/>
                <w:sz w:val="22"/>
                <w:szCs w:val="22"/>
              </w:rPr>
              <w:t>0,25</w:t>
            </w:r>
            <w:r w:rsidRPr="003F7338">
              <w:rPr>
                <w:sz w:val="22"/>
                <w:szCs w:val="22"/>
              </w:rPr>
              <w:t xml:space="preserve"> 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>/m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 xml:space="preserve">  per destinazione residenziale principale per i casi eccedenti o diversi da quelli indicati nelle precedenti lettere a) e b);</w:t>
            </w:r>
          </w:p>
          <w:p w:rsidR="00715559" w:rsidRDefault="00715559" w:rsidP="00B61CCA">
            <w:pPr>
              <w:spacing w:after="80"/>
              <w:ind w:left="1370" w:right="290" w:hanging="180"/>
              <w:jc w:val="both"/>
            </w:pPr>
            <w:r w:rsidRPr="003F7338">
              <w:rPr>
                <w:sz w:val="22"/>
                <w:szCs w:val="22"/>
              </w:rPr>
              <w:t xml:space="preserve">d) densità pari a </w:t>
            </w:r>
            <w:r w:rsidRPr="003F7338">
              <w:rPr>
                <w:b/>
                <w:sz w:val="22"/>
                <w:szCs w:val="22"/>
              </w:rPr>
              <w:t>0,20</w:t>
            </w:r>
            <w:r w:rsidRPr="003F7338">
              <w:rPr>
                <w:sz w:val="22"/>
                <w:szCs w:val="22"/>
              </w:rPr>
              <w:t xml:space="preserve"> 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>/m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 xml:space="preserve">  per destinazione residenziale temporanea ad esclusione della residenza temporanea ammessa in virtù delle disposizioni della precedente  </w:t>
            </w:r>
            <w:r>
              <w:rPr>
                <w:sz w:val="22"/>
                <w:szCs w:val="22"/>
              </w:rPr>
              <w:t>prescrizione p</w:t>
            </w:r>
            <w:r w:rsidRPr="003F7338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rticolare</w:t>
            </w:r>
            <w:r w:rsidRPr="003F7338">
              <w:rPr>
                <w:sz w:val="22"/>
                <w:szCs w:val="22"/>
              </w:rPr>
              <w:t xml:space="preserve"> 3);</w:t>
            </w:r>
          </w:p>
          <w:p w:rsidR="00715559" w:rsidRPr="00CD56FE" w:rsidRDefault="00715559" w:rsidP="00B61CCA">
            <w:pPr>
              <w:spacing w:after="80"/>
              <w:ind w:left="1370" w:right="290" w:hanging="180"/>
              <w:jc w:val="both"/>
              <w:rPr>
                <w:highlight w:val="yellow"/>
              </w:rPr>
            </w:pPr>
            <w:r w:rsidRPr="00CD56FE">
              <w:rPr>
                <w:sz w:val="22"/>
                <w:szCs w:val="22"/>
              </w:rPr>
              <w:t xml:space="preserve">e) </w:t>
            </w:r>
            <w:r w:rsidRPr="00CD56FE">
              <w:rPr>
                <w:b/>
                <w:sz w:val="22"/>
                <w:szCs w:val="22"/>
              </w:rPr>
              <w:t>prescindendo dal rispetto della densità fondiaria di sottozona</w:t>
            </w:r>
            <w:r w:rsidRPr="00C30999">
              <w:rPr>
                <w:sz w:val="22"/>
                <w:szCs w:val="22"/>
              </w:rPr>
              <w:t>:</w:t>
            </w:r>
          </w:p>
          <w:p w:rsidR="00715559" w:rsidRPr="00C30999" w:rsidRDefault="00715559" w:rsidP="00B61CCA">
            <w:pPr>
              <w:spacing w:after="80"/>
              <w:ind w:left="1550" w:right="290" w:hanging="180"/>
              <w:jc w:val="both"/>
            </w:pPr>
            <w:r w:rsidRPr="00DC0553">
              <w:rPr>
                <w:sz w:val="22"/>
                <w:szCs w:val="22"/>
              </w:rPr>
              <w:t xml:space="preserve">- su fabbricati alberghieri esistenti che non hanno già goduto di ampliamenti in deroga a norme vigenti di PRG, è ammesso un incremento </w:t>
            </w:r>
            <w:proofErr w:type="spellStart"/>
            <w:r w:rsidRPr="00DC0553">
              <w:rPr>
                <w:sz w:val="22"/>
                <w:szCs w:val="22"/>
              </w:rPr>
              <w:t>planivolumetrico</w:t>
            </w:r>
            <w:proofErr w:type="spellEnd"/>
            <w:r w:rsidRPr="00DC0553">
              <w:rPr>
                <w:sz w:val="22"/>
                <w:szCs w:val="22"/>
              </w:rPr>
              <w:t xml:space="preserve"> (Indice di ampliamento </w:t>
            </w:r>
            <w:proofErr w:type="spellStart"/>
            <w:r w:rsidRPr="00DC0553">
              <w:rPr>
                <w:sz w:val="22"/>
                <w:szCs w:val="22"/>
              </w:rPr>
              <w:t>Ia</w:t>
            </w:r>
            <w:proofErr w:type="spellEnd"/>
            <w:r w:rsidRPr="00DC0553">
              <w:rPr>
                <w:sz w:val="22"/>
                <w:szCs w:val="22"/>
              </w:rPr>
              <w:t xml:space="preserve">) pari al doppio della </w:t>
            </w:r>
            <w:proofErr w:type="spellStart"/>
            <w:r w:rsidRPr="00DC0553">
              <w:rPr>
                <w:sz w:val="22"/>
                <w:szCs w:val="22"/>
              </w:rPr>
              <w:t>Sur</w:t>
            </w:r>
            <w:proofErr w:type="spellEnd"/>
            <w:r w:rsidRPr="00DC0553">
              <w:rPr>
                <w:sz w:val="22"/>
                <w:szCs w:val="22"/>
              </w:rPr>
              <w:t xml:space="preserve"> </w:t>
            </w:r>
            <w:r w:rsidRPr="008D6BEA">
              <w:rPr>
                <w:sz w:val="22"/>
                <w:szCs w:val="22"/>
              </w:rPr>
              <w:t xml:space="preserve">esistente a favore delle destinazioni g1, g2, g7 e g10 con la contestuale possibilità di trasformare il 20% della </w:t>
            </w:r>
            <w:proofErr w:type="spellStart"/>
            <w:r w:rsidRPr="008D6BEA">
              <w:rPr>
                <w:sz w:val="22"/>
                <w:szCs w:val="22"/>
              </w:rPr>
              <w:t>Sur</w:t>
            </w:r>
            <w:proofErr w:type="spellEnd"/>
            <w:r w:rsidRPr="008D6BEA">
              <w:rPr>
                <w:sz w:val="22"/>
                <w:szCs w:val="22"/>
              </w:rPr>
              <w:t xml:space="preserve"> totale, comprensiva dell’eventuale incremento</w:t>
            </w:r>
            <w:r w:rsidRPr="00DC0553">
              <w:rPr>
                <w:sz w:val="22"/>
                <w:szCs w:val="22"/>
              </w:rPr>
              <w:t>, per altra destinazione d’uso ammessa nella sottozona;</w:t>
            </w:r>
            <w:r w:rsidRPr="00C30999">
              <w:rPr>
                <w:sz w:val="22"/>
                <w:szCs w:val="22"/>
              </w:rPr>
              <w:t xml:space="preserve"> </w:t>
            </w:r>
          </w:p>
          <w:p w:rsidR="00715559" w:rsidRPr="003F7338" w:rsidRDefault="00715559" w:rsidP="00B61CCA">
            <w:pPr>
              <w:spacing w:after="80"/>
              <w:ind w:left="1550" w:right="290" w:hanging="180"/>
              <w:jc w:val="both"/>
            </w:pPr>
            <w:r w:rsidRPr="00C30999">
              <w:rPr>
                <w:sz w:val="22"/>
                <w:szCs w:val="22"/>
              </w:rPr>
              <w:t>- sui fabbricati esistenti la densità dei quali eccede quella</w:t>
            </w:r>
            <w:r w:rsidRPr="00CD56FE">
              <w:rPr>
                <w:sz w:val="22"/>
                <w:szCs w:val="22"/>
              </w:rPr>
              <w:t xml:space="preserve"> consentita sul lotto di pertinenza è ammesso un incremento </w:t>
            </w:r>
            <w:proofErr w:type="spellStart"/>
            <w:r w:rsidRPr="00CD56FE">
              <w:rPr>
                <w:sz w:val="22"/>
                <w:szCs w:val="22"/>
              </w:rPr>
              <w:t>planivolumetrico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C30999">
              <w:rPr>
                <w:sz w:val="22"/>
                <w:szCs w:val="22"/>
              </w:rPr>
              <w:t xml:space="preserve">(Indice di ampliamento </w:t>
            </w:r>
            <w:proofErr w:type="spellStart"/>
            <w:r w:rsidRPr="00C30999">
              <w:rPr>
                <w:sz w:val="22"/>
                <w:szCs w:val="22"/>
              </w:rPr>
              <w:t>Ia</w:t>
            </w:r>
            <w:proofErr w:type="spellEnd"/>
            <w:r w:rsidRPr="00C30999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r w:rsidRPr="00CD56FE">
              <w:rPr>
                <w:sz w:val="22"/>
                <w:szCs w:val="22"/>
              </w:rPr>
              <w:t xml:space="preserve">delle unità immobiliari sino al valore massimo del 20% dell'esistente SUR utilizzata e/o trasformabile con interventi di recupero, con un minimo netto garantito di </w:t>
            </w:r>
            <w:smartTag w:uri="urn:schemas-microsoft-com:office:smarttags" w:element="metricconverter">
              <w:smartTagPr>
                <w:attr w:name="ProductID" w:val="15 m2"/>
              </w:smartTagPr>
              <w:r w:rsidRPr="00CD56FE">
                <w:rPr>
                  <w:sz w:val="22"/>
                  <w:szCs w:val="22"/>
                </w:rPr>
                <w:t>15 m</w:t>
              </w:r>
              <w:r w:rsidRPr="00CD56FE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CD56FE">
              <w:rPr>
                <w:sz w:val="22"/>
                <w:szCs w:val="22"/>
              </w:rPr>
              <w:t xml:space="preserve">, esclusivamente </w:t>
            </w:r>
            <w:r w:rsidRPr="00CD56FE">
              <w:rPr>
                <w:sz w:val="22"/>
                <w:szCs w:val="22"/>
                <w:u w:val="single"/>
              </w:rPr>
              <w:t xml:space="preserve">per </w:t>
            </w:r>
            <w:r w:rsidRPr="000D2055">
              <w:rPr>
                <w:sz w:val="22"/>
                <w:szCs w:val="22"/>
                <w:u w:val="single"/>
              </w:rPr>
              <w:t>adeguare o</w:t>
            </w:r>
            <w:r w:rsidRPr="00CD56FE">
              <w:rPr>
                <w:sz w:val="22"/>
                <w:szCs w:val="22"/>
                <w:u w:val="single"/>
              </w:rPr>
              <w:t>gni unità immobiliare di residenza principale</w:t>
            </w:r>
            <w:r w:rsidRPr="00CD56FE">
              <w:rPr>
                <w:sz w:val="22"/>
                <w:szCs w:val="22"/>
              </w:rPr>
              <w:t xml:space="preserve"> alle moderne esigenze igienico-sanitarie </w:t>
            </w:r>
            <w:r>
              <w:rPr>
                <w:sz w:val="22"/>
                <w:szCs w:val="22"/>
              </w:rPr>
              <w:t>o</w:t>
            </w:r>
            <w:r w:rsidRPr="00CD56FE">
              <w:rPr>
                <w:sz w:val="22"/>
                <w:szCs w:val="22"/>
              </w:rPr>
              <w:t xml:space="preserve"> funzionali </w:t>
            </w:r>
            <w:r>
              <w:rPr>
                <w:sz w:val="22"/>
                <w:szCs w:val="22"/>
              </w:rPr>
              <w:t>o</w:t>
            </w:r>
            <w:r w:rsidRPr="00CD56FE">
              <w:rPr>
                <w:sz w:val="22"/>
                <w:szCs w:val="22"/>
              </w:rPr>
              <w:t xml:space="preserve"> </w:t>
            </w:r>
            <w:r w:rsidRPr="00CD56FE">
              <w:rPr>
                <w:sz w:val="22"/>
                <w:szCs w:val="22"/>
                <w:u w:val="single"/>
              </w:rPr>
              <w:t xml:space="preserve">per usi ed attività di tipo </w:t>
            </w:r>
            <w:proofErr w:type="spellStart"/>
            <w:r w:rsidRPr="00CD56FE">
              <w:rPr>
                <w:sz w:val="22"/>
                <w:szCs w:val="22"/>
                <w:u w:val="single"/>
              </w:rPr>
              <w:t>turistico-ricettivo</w:t>
            </w:r>
            <w:proofErr w:type="spellEnd"/>
            <w:r w:rsidRPr="00CD56FE">
              <w:rPr>
                <w:sz w:val="22"/>
                <w:szCs w:val="22"/>
              </w:rPr>
              <w:t xml:space="preserve"> (categoria "g"); </w:t>
            </w:r>
            <w:r>
              <w:rPr>
                <w:sz w:val="22"/>
                <w:szCs w:val="22"/>
              </w:rPr>
              <w:t xml:space="preserve"> </w:t>
            </w:r>
            <w:r w:rsidRPr="00CD56FE">
              <w:rPr>
                <w:sz w:val="22"/>
                <w:szCs w:val="22"/>
              </w:rPr>
              <w:t xml:space="preserve">l'incremento è ammesso esclusivamente sui fabbricati che presentano un volume massimo esistente fuori terra inferiore a </w:t>
            </w:r>
            <w:smartTag w:uri="urn:schemas-microsoft-com:office:smarttags" w:element="metricconverter">
              <w:smartTagPr>
                <w:attr w:name="ProductID" w:val="600 m3"/>
              </w:smartTagPr>
              <w:r w:rsidRPr="00CD56FE">
                <w:rPr>
                  <w:sz w:val="22"/>
                  <w:szCs w:val="22"/>
                </w:rPr>
                <w:t>600 m</w:t>
              </w:r>
              <w:r w:rsidRPr="00CD56FE">
                <w:rPr>
                  <w:sz w:val="22"/>
                  <w:szCs w:val="22"/>
                  <w:vertAlign w:val="superscript"/>
                </w:rPr>
                <w:t>3</w:t>
              </w:r>
            </w:smartTag>
            <w:r w:rsidRPr="00CD56FE">
              <w:rPr>
                <w:sz w:val="22"/>
                <w:szCs w:val="22"/>
              </w:rPr>
              <w:t>;</w:t>
            </w:r>
          </w:p>
          <w:p w:rsidR="00715559" w:rsidRDefault="00715559" w:rsidP="00B61CCA">
            <w:pPr>
              <w:spacing w:after="60"/>
              <w:ind w:left="1370" w:right="289" w:hanging="180"/>
              <w:jc w:val="both"/>
            </w:pPr>
            <w:r w:rsidRPr="003F7338">
              <w:rPr>
                <w:sz w:val="22"/>
                <w:szCs w:val="22"/>
              </w:rPr>
              <w:t>f) per destinazioni residenziali principali o temporanee il limite massimo di superficie urbanistica (</w:t>
            </w:r>
            <w:proofErr w:type="spellStart"/>
            <w:r w:rsidRPr="003F7338">
              <w:rPr>
                <w:sz w:val="22"/>
                <w:szCs w:val="22"/>
              </w:rPr>
              <w:t>Sur</w:t>
            </w:r>
            <w:proofErr w:type="spellEnd"/>
            <w:r w:rsidRPr="003F7338">
              <w:rPr>
                <w:sz w:val="22"/>
                <w:szCs w:val="22"/>
              </w:rPr>
              <w:t xml:space="preserve">) per singolo </w:t>
            </w:r>
            <w:r>
              <w:rPr>
                <w:sz w:val="22"/>
                <w:szCs w:val="22"/>
              </w:rPr>
              <w:t xml:space="preserve">corpo di </w:t>
            </w:r>
            <w:r w:rsidRPr="003F7338">
              <w:rPr>
                <w:sz w:val="22"/>
                <w:szCs w:val="22"/>
              </w:rPr>
              <w:t xml:space="preserve">fabbrica sul lotto asservito all'edificazione è pari a </w:t>
            </w:r>
            <w:smartTag w:uri="urn:schemas-microsoft-com:office:smarttags" w:element="metricconverter">
              <w:smartTagPr>
                <w:attr w:name="ProductID" w:val="250 m2"/>
              </w:smartTagPr>
              <w:r w:rsidRPr="003F7338">
                <w:rPr>
                  <w:sz w:val="22"/>
                  <w:szCs w:val="22"/>
                </w:rPr>
                <w:t>250 m</w:t>
              </w:r>
              <w:r w:rsidRPr="003F7338">
                <w:rPr>
                  <w:sz w:val="22"/>
                  <w:szCs w:val="22"/>
                  <w:vertAlign w:val="superscript"/>
                </w:rPr>
                <w:t>2</w:t>
              </w:r>
            </w:smartTag>
            <w:r>
              <w:rPr>
                <w:sz w:val="22"/>
                <w:szCs w:val="22"/>
              </w:rPr>
              <w:t xml:space="preserve">; oltre tale limite, i fabbricati devono essere </w:t>
            </w:r>
            <w:proofErr w:type="spellStart"/>
            <w:r>
              <w:rPr>
                <w:sz w:val="22"/>
                <w:szCs w:val="22"/>
              </w:rPr>
              <w:t>volumetricamente</w:t>
            </w:r>
            <w:proofErr w:type="spellEnd"/>
            <w:r>
              <w:rPr>
                <w:sz w:val="22"/>
                <w:szCs w:val="22"/>
              </w:rPr>
              <w:t xml:space="preserve"> articolati con diversa tipologia quali case a schiera.</w:t>
            </w:r>
          </w:p>
          <w:p w:rsidR="00715559" w:rsidRPr="003F7338" w:rsidRDefault="00715559" w:rsidP="00B61CCA">
            <w:pPr>
              <w:spacing w:after="80"/>
              <w:ind w:left="1190" w:right="290" w:hanging="360"/>
              <w:jc w:val="both"/>
            </w:pPr>
            <w:r>
              <w:rPr>
                <w:sz w:val="22"/>
                <w:szCs w:val="22"/>
                <w:highlight w:val="yellow"/>
              </w:rPr>
              <w:t>(6</w:t>
            </w:r>
            <w:r w:rsidRPr="003F7338">
              <w:rPr>
                <w:sz w:val="22"/>
                <w:szCs w:val="22"/>
                <w:highlight w:val="yellow"/>
              </w:rPr>
              <w:t>)</w:t>
            </w:r>
            <w:r w:rsidRPr="003F7338">
              <w:rPr>
                <w:sz w:val="22"/>
                <w:szCs w:val="22"/>
              </w:rPr>
              <w:t xml:space="preserve">  </w:t>
            </w:r>
            <w:r w:rsidRPr="000D2055">
              <w:rPr>
                <w:sz w:val="22"/>
                <w:szCs w:val="22"/>
              </w:rPr>
              <w:t xml:space="preserve">Sulla parte di sottozona </w:t>
            </w:r>
            <w:r w:rsidRPr="008D6BEA">
              <w:rPr>
                <w:b/>
                <w:sz w:val="22"/>
                <w:szCs w:val="22"/>
              </w:rPr>
              <w:t>Bd4*-Corgnolaz</w:t>
            </w:r>
            <w:r w:rsidRPr="000D2055">
              <w:rPr>
                <w:sz w:val="22"/>
                <w:szCs w:val="22"/>
              </w:rPr>
              <w:t xml:space="preserve"> assoggettata a PUD, il volume destinato ad attività produttive o a locali accessori alle altre attività o alla residenza deve essere inserito all’interno del profilo naturale del terreno; è consentito lo scoprimento delle parti di fronte strettamente necessario alle esigenze di illuminazione e aerazione dei locali per un’altezza massima di metri 1,20 fuori terra; in corrispondenza degli accessi è altresì possibile uno scoprimento massimo del fronte pari a metri 4,00 di larghezza x 3,00 di altezza.</w:t>
            </w:r>
          </w:p>
          <w:p w:rsidR="00715559" w:rsidRPr="003F7338" w:rsidRDefault="00715559" w:rsidP="00B61CCA">
            <w:pPr>
              <w:spacing w:after="80"/>
              <w:ind w:left="1190" w:right="290" w:hanging="360"/>
              <w:jc w:val="both"/>
            </w:pPr>
            <w:r w:rsidRPr="003F7338">
              <w:rPr>
                <w:sz w:val="22"/>
                <w:szCs w:val="22"/>
                <w:highlight w:val="yellow"/>
              </w:rPr>
              <w:t>(7)</w:t>
            </w:r>
            <w:r>
              <w:rPr>
                <w:sz w:val="22"/>
                <w:szCs w:val="22"/>
              </w:rPr>
              <w:t xml:space="preserve">  a) R</w:t>
            </w:r>
            <w:r w:rsidRPr="003F7338">
              <w:rPr>
                <w:sz w:val="22"/>
                <w:szCs w:val="22"/>
              </w:rPr>
              <w:t xml:space="preserve">apporto tra superficie complessiva e superficie fondiaria pari a </w:t>
            </w:r>
            <w:r w:rsidRPr="003F7338">
              <w:rPr>
                <w:b/>
                <w:sz w:val="22"/>
                <w:szCs w:val="22"/>
              </w:rPr>
              <w:t>0,85</w:t>
            </w:r>
            <w:r w:rsidRPr="003F7338">
              <w:rPr>
                <w:sz w:val="22"/>
                <w:szCs w:val="22"/>
              </w:rPr>
              <w:t xml:space="preserve"> 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>/m</w:t>
            </w:r>
            <w:r w:rsidRPr="003F7338">
              <w:rPr>
                <w:sz w:val="22"/>
                <w:szCs w:val="22"/>
                <w:vertAlign w:val="superscript"/>
              </w:rPr>
              <w:t xml:space="preserve">2 </w:t>
            </w:r>
            <w:r w:rsidRPr="003F7338">
              <w:rPr>
                <w:sz w:val="22"/>
                <w:szCs w:val="22"/>
              </w:rPr>
              <w:t>per destinazione ricettiva alberghiera (sottocategorie “g1” e “g2”);</w:t>
            </w:r>
          </w:p>
          <w:p w:rsidR="00715559" w:rsidRPr="003F7338" w:rsidRDefault="00715559" w:rsidP="00B61CCA">
            <w:pPr>
              <w:spacing w:after="80"/>
              <w:ind w:left="1550" w:right="290" w:hanging="360"/>
              <w:jc w:val="both"/>
            </w:pPr>
            <w:r w:rsidRPr="003F7338">
              <w:rPr>
                <w:sz w:val="22"/>
                <w:szCs w:val="22"/>
              </w:rPr>
              <w:t xml:space="preserve">b) rapporto tra superficie complessiva e superficie fondiaria pari a </w:t>
            </w:r>
            <w:r w:rsidRPr="003F7338">
              <w:rPr>
                <w:b/>
                <w:sz w:val="22"/>
                <w:szCs w:val="22"/>
              </w:rPr>
              <w:t>0,40</w:t>
            </w:r>
            <w:r w:rsidRPr="003F7338">
              <w:rPr>
                <w:sz w:val="22"/>
                <w:szCs w:val="22"/>
              </w:rPr>
              <w:t xml:space="preserve"> 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>/m</w:t>
            </w:r>
            <w:r w:rsidRPr="003F7338">
              <w:rPr>
                <w:sz w:val="22"/>
                <w:szCs w:val="22"/>
                <w:vertAlign w:val="superscript"/>
              </w:rPr>
              <w:t xml:space="preserve">2 </w:t>
            </w:r>
            <w:r w:rsidRPr="003F7338">
              <w:rPr>
                <w:sz w:val="22"/>
                <w:szCs w:val="22"/>
              </w:rPr>
              <w:t xml:space="preserve">per destinazioni artigianale, commerciale e </w:t>
            </w:r>
            <w:proofErr w:type="spellStart"/>
            <w:r w:rsidRPr="003F7338">
              <w:rPr>
                <w:sz w:val="22"/>
                <w:szCs w:val="22"/>
              </w:rPr>
              <w:t>turistico-ricettiva</w:t>
            </w:r>
            <w:proofErr w:type="spellEnd"/>
            <w:r w:rsidRPr="003F7338">
              <w:rPr>
                <w:sz w:val="22"/>
                <w:szCs w:val="22"/>
              </w:rPr>
              <w:t xml:space="preserve"> extralberghiera;</w:t>
            </w:r>
          </w:p>
          <w:p w:rsidR="00715559" w:rsidRPr="003F7338" w:rsidRDefault="00715559" w:rsidP="00B61CCA">
            <w:pPr>
              <w:spacing w:after="80"/>
              <w:ind w:left="1370" w:right="290" w:hanging="180"/>
              <w:jc w:val="both"/>
            </w:pPr>
            <w:r w:rsidRPr="003F7338">
              <w:rPr>
                <w:sz w:val="22"/>
                <w:szCs w:val="22"/>
              </w:rPr>
              <w:lastRenderedPageBreak/>
              <w:t xml:space="preserve">c) rapporto tra superficie complessiva e superficie fondiaria pari a </w:t>
            </w:r>
            <w:r w:rsidRPr="003F7338">
              <w:rPr>
                <w:b/>
                <w:sz w:val="22"/>
                <w:szCs w:val="22"/>
              </w:rPr>
              <w:t>0,30</w:t>
            </w:r>
            <w:r w:rsidRPr="003F7338">
              <w:rPr>
                <w:sz w:val="22"/>
                <w:szCs w:val="22"/>
              </w:rPr>
              <w:t xml:space="preserve"> 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>/m</w:t>
            </w:r>
            <w:r w:rsidRPr="003F7338">
              <w:rPr>
                <w:sz w:val="22"/>
                <w:szCs w:val="22"/>
                <w:vertAlign w:val="superscript"/>
              </w:rPr>
              <w:t xml:space="preserve">2 </w:t>
            </w:r>
            <w:r w:rsidRPr="003F7338">
              <w:rPr>
                <w:sz w:val="22"/>
                <w:szCs w:val="22"/>
              </w:rPr>
              <w:t>destinazione residenziale principale;</w:t>
            </w:r>
          </w:p>
          <w:p w:rsidR="00715559" w:rsidRPr="003F7338" w:rsidRDefault="00715559" w:rsidP="00B61CCA">
            <w:pPr>
              <w:spacing w:after="80"/>
              <w:ind w:left="1370" w:right="290" w:hanging="180"/>
              <w:jc w:val="both"/>
            </w:pPr>
            <w:r w:rsidRPr="003F7338">
              <w:rPr>
                <w:sz w:val="22"/>
                <w:szCs w:val="22"/>
              </w:rPr>
              <w:t xml:space="preserve">d) rapporto tra superficie complessiva e superficie fondiaria pari a </w:t>
            </w:r>
            <w:r w:rsidRPr="003F7338">
              <w:rPr>
                <w:b/>
                <w:sz w:val="22"/>
                <w:szCs w:val="22"/>
              </w:rPr>
              <w:t>0,25</w:t>
            </w:r>
            <w:r w:rsidRPr="003F7338">
              <w:rPr>
                <w:sz w:val="22"/>
                <w:szCs w:val="22"/>
              </w:rPr>
              <w:t xml:space="preserve"> 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>/m</w:t>
            </w:r>
            <w:r w:rsidRPr="003F7338">
              <w:rPr>
                <w:sz w:val="22"/>
                <w:szCs w:val="22"/>
                <w:vertAlign w:val="superscript"/>
              </w:rPr>
              <w:t xml:space="preserve">2 </w:t>
            </w:r>
            <w:r w:rsidRPr="003F7338">
              <w:rPr>
                <w:sz w:val="22"/>
                <w:szCs w:val="22"/>
              </w:rPr>
              <w:t>destinazione residenziale temporanea.</w:t>
            </w:r>
          </w:p>
          <w:p w:rsidR="00715559" w:rsidRPr="003F7338" w:rsidRDefault="00715559" w:rsidP="00B61CCA">
            <w:pPr>
              <w:spacing w:after="80"/>
              <w:ind w:left="1190" w:right="290" w:hanging="360"/>
              <w:jc w:val="both"/>
            </w:pPr>
            <w:r w:rsidRPr="003F7338">
              <w:rPr>
                <w:sz w:val="22"/>
                <w:szCs w:val="22"/>
                <w:highlight w:val="yellow"/>
              </w:rPr>
              <w:t>(8)</w:t>
            </w:r>
            <w:r w:rsidRPr="003F7338"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11,0 metri"/>
              </w:smartTagPr>
              <w:r w:rsidRPr="00F04F4B">
                <w:rPr>
                  <w:b/>
                  <w:sz w:val="22"/>
                  <w:szCs w:val="22"/>
                </w:rPr>
                <w:t>11,0</w:t>
              </w:r>
              <w:r w:rsidRPr="003F7338">
                <w:rPr>
                  <w:sz w:val="22"/>
                  <w:szCs w:val="22"/>
                </w:rPr>
                <w:t xml:space="preserve"> metri</w:t>
              </w:r>
            </w:smartTag>
            <w:r w:rsidRPr="003F7338">
              <w:rPr>
                <w:sz w:val="22"/>
                <w:szCs w:val="22"/>
              </w:rPr>
              <w:t xml:space="preserve"> per edifici a destinazione </w:t>
            </w:r>
            <w:proofErr w:type="spellStart"/>
            <w:r w:rsidRPr="003F7338">
              <w:rPr>
                <w:sz w:val="22"/>
                <w:szCs w:val="22"/>
              </w:rPr>
              <w:t>turistico-alberghiera</w:t>
            </w:r>
            <w:proofErr w:type="spellEnd"/>
            <w:r>
              <w:rPr>
                <w:sz w:val="22"/>
                <w:szCs w:val="22"/>
              </w:rPr>
              <w:t xml:space="preserve"> (sottocategorie g1, g2).</w:t>
            </w:r>
          </w:p>
          <w:p w:rsidR="00715559" w:rsidRPr="003F7338" w:rsidRDefault="00715559" w:rsidP="00B61CCA">
            <w:pPr>
              <w:spacing w:after="80"/>
              <w:ind w:left="1190" w:right="290" w:hanging="360"/>
              <w:jc w:val="both"/>
            </w:pPr>
            <w:r w:rsidRPr="003F7338">
              <w:rPr>
                <w:sz w:val="22"/>
                <w:szCs w:val="22"/>
                <w:highlight w:val="yellow"/>
              </w:rPr>
              <w:t>(9)</w:t>
            </w:r>
            <w:r w:rsidRPr="003F7338">
              <w:rPr>
                <w:sz w:val="22"/>
                <w:szCs w:val="22"/>
              </w:rPr>
              <w:t xml:space="preserve">  </w:t>
            </w:r>
            <w:r w:rsidRPr="00F04F4B">
              <w:rPr>
                <w:b/>
                <w:sz w:val="22"/>
                <w:szCs w:val="22"/>
              </w:rPr>
              <w:t>2 + 1</w:t>
            </w:r>
            <w:r w:rsidRPr="003F733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piano </w:t>
            </w:r>
            <w:r w:rsidRPr="003F7338">
              <w:rPr>
                <w:sz w:val="22"/>
                <w:szCs w:val="22"/>
              </w:rPr>
              <w:t xml:space="preserve">mansardato </w:t>
            </w:r>
            <w:r>
              <w:rPr>
                <w:sz w:val="22"/>
                <w:szCs w:val="22"/>
              </w:rPr>
              <w:t xml:space="preserve">di sottotetto </w:t>
            </w:r>
            <w:r w:rsidRPr="003F7338">
              <w:rPr>
                <w:sz w:val="22"/>
                <w:szCs w:val="22"/>
              </w:rPr>
              <w:t>per strutture alberghiere (sottocategorie g1, g2).</w:t>
            </w:r>
          </w:p>
          <w:p w:rsidR="00715559" w:rsidRPr="003F7338" w:rsidRDefault="00715559" w:rsidP="00B61CCA">
            <w:pPr>
              <w:spacing w:after="80"/>
              <w:ind w:left="1190" w:right="290" w:hanging="360"/>
              <w:jc w:val="both"/>
              <w:rPr>
                <w:u w:val="single"/>
              </w:rPr>
            </w:pPr>
          </w:p>
        </w:tc>
      </w:tr>
    </w:tbl>
    <w:p w:rsidR="00715559" w:rsidRDefault="00715559" w:rsidP="00715559">
      <w:pPr>
        <w:rPr>
          <w:b/>
          <w:sz w:val="22"/>
          <w:szCs w:val="22"/>
        </w:rPr>
      </w:pPr>
    </w:p>
    <w:sectPr w:rsidR="00715559" w:rsidSect="0071555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15559"/>
    <w:rsid w:val="002F4A0F"/>
    <w:rsid w:val="0042229E"/>
    <w:rsid w:val="00715559"/>
    <w:rsid w:val="00A541EB"/>
    <w:rsid w:val="00A57404"/>
    <w:rsid w:val="00DF08E0"/>
    <w:rsid w:val="00FA0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5559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mcaputo</dc:creator>
  <cp:keywords/>
  <dc:description/>
  <cp:lastModifiedBy>mcaputo</cp:lastModifiedBy>
  <cp:revision>5</cp:revision>
  <cp:lastPrinted>2013-11-12T10:42:00Z</cp:lastPrinted>
  <dcterms:created xsi:type="dcterms:W3CDTF">2013-11-06T10:44:00Z</dcterms:created>
  <dcterms:modified xsi:type="dcterms:W3CDTF">2013-11-13T10:30:00Z</dcterms:modified>
</cp:coreProperties>
</file>